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6735" w:rsidRDefault="00A4554C">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38100</wp:posOffset>
                </wp:positionH>
                <wp:positionV relativeFrom="paragraph">
                  <wp:posOffset>0</wp:posOffset>
                </wp:positionV>
                <wp:extent cx="7302500" cy="1333500"/>
                <wp:effectExtent l="0" t="0" r="0" b="0"/>
                <wp:wrapNone/>
                <wp:docPr id="2" name=""/>
                <wp:cNvGraphicFramePr/>
                <a:graphic xmlns:a="http://schemas.openxmlformats.org/drawingml/2006/main">
                  <a:graphicData uri="http://schemas.microsoft.com/office/word/2010/wordprocessingShape">
                    <wps:wsp>
                      <wps:cNvSpPr/>
                      <wps:spPr>
                        <a:xfrm>
                          <a:off x="1731263" y="3151350"/>
                          <a:ext cx="7229475" cy="1257299"/>
                        </a:xfrm>
                        <a:prstGeom prst="rect">
                          <a:avLst/>
                        </a:prstGeom>
                        <a:solidFill>
                          <a:srgbClr val="FFFFFF"/>
                        </a:solidFill>
                        <a:ln w="76200" cap="flat" cmpd="tri">
                          <a:solidFill>
                            <a:srgbClr val="000000"/>
                          </a:solidFill>
                          <a:prstDash val="solid"/>
                          <a:miter/>
                          <a:headEnd type="none" w="med" len="med"/>
                          <a:tailEnd type="none" w="med" len="med"/>
                        </a:ln>
                      </wps:spPr>
                      <wps:txbx>
                        <w:txbxContent>
                          <w:p w:rsidR="00186735" w:rsidRDefault="00A4554C">
                            <w:pPr>
                              <w:spacing w:line="258" w:lineRule="auto"/>
                              <w:ind w:left="720" w:firstLine="1440"/>
                              <w:jc w:val="center"/>
                              <w:textDirection w:val="btLr"/>
                            </w:pPr>
                            <w:r>
                              <w:rPr>
                                <w:b/>
                                <w:sz w:val="40"/>
                              </w:rPr>
                              <w:t>BEAL CITY JR</w:t>
                            </w:r>
                            <w:proofErr w:type="gramStart"/>
                            <w:r>
                              <w:rPr>
                                <w:b/>
                                <w:sz w:val="40"/>
                              </w:rPr>
                              <w:t>./</w:t>
                            </w:r>
                            <w:proofErr w:type="gramEnd"/>
                            <w:r>
                              <w:rPr>
                                <w:b/>
                                <w:sz w:val="40"/>
                              </w:rPr>
                              <w:t>SR. HIGH SCHOOL</w:t>
                            </w:r>
                          </w:p>
                          <w:p w:rsidR="00186735" w:rsidRDefault="00A4554C">
                            <w:pPr>
                              <w:spacing w:line="258" w:lineRule="auto"/>
                              <w:ind w:left="720" w:firstLine="1440"/>
                              <w:jc w:val="center"/>
                              <w:textDirection w:val="btLr"/>
                            </w:pPr>
                            <w:r>
                              <w:rPr>
                                <w:b/>
                              </w:rPr>
                              <w:t>2015-2016 SCHOOL ANNUAL REPORT COVER LETTER</w:t>
                            </w:r>
                          </w:p>
                          <w:p w:rsidR="00186735" w:rsidRDefault="00A4554C">
                            <w:pPr>
                              <w:spacing w:line="258" w:lineRule="auto"/>
                              <w:ind w:left="1440" w:firstLine="1440"/>
                              <w:jc w:val="center"/>
                              <w:textDirection w:val="btLr"/>
                            </w:pPr>
                            <w:r>
                              <w:rPr>
                                <w:b/>
                              </w:rPr>
                              <w:t>Jeff Jackson, Principal</w:t>
                            </w:r>
                          </w:p>
                          <w:p w:rsidR="00186735" w:rsidRDefault="00186735">
                            <w:pPr>
                              <w:spacing w:line="258" w:lineRule="auto"/>
                              <w:jc w:val="center"/>
                              <w:textDirection w:val="btLr"/>
                            </w:pPr>
                          </w:p>
                        </w:txbxContent>
                      </wps:txbx>
                      <wps:bodyPr lIns="91425" tIns="45700" rIns="91425" bIns="45700" anchor="t" anchorCtr="0"/>
                    </wps:wsp>
                  </a:graphicData>
                </a:graphic>
              </wp:anchor>
            </w:drawing>
          </mc:Choice>
          <mc:Fallback>
            <w:pict>
              <v:rect id="_x0000_s1026" style="position:absolute;margin-left:3pt;margin-top:0;width:575pt;height:1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" o:allowincell="f" strokeweight="6pt">
                <v:stroke linestyle="thickBetweenThin"/>
                <v:textbox inset="2.53958mm,1.2694mm,2.53958mm,1.2694mm">
                  <w:txbxContent>
                    <w:p w:rsidR="00186735" w:rsidRDefault="00A4554C">
                      <w:pPr>
                        <w:spacing w:line="258" w:lineRule="auto"/>
                        <w:ind w:left="720" w:firstLine="1440"/>
                        <w:jc w:val="center"/>
                        <w:textDirection w:val="btLr"/>
                      </w:pPr>
                      <w:r>
                        <w:rPr>
                          <w:b/>
                          <w:sz w:val="40"/>
                        </w:rPr>
                        <w:t>BEAL CITY JR</w:t>
                      </w:r>
                      <w:proofErr w:type="gramStart"/>
                      <w:r>
                        <w:rPr>
                          <w:b/>
                          <w:sz w:val="40"/>
                        </w:rPr>
                        <w:t>./</w:t>
                      </w:r>
                      <w:proofErr w:type="gramEnd"/>
                      <w:r>
                        <w:rPr>
                          <w:b/>
                          <w:sz w:val="40"/>
                        </w:rPr>
                        <w:t>SR. HIGH SCHOOL</w:t>
                      </w:r>
                    </w:p>
                    <w:p w:rsidR="00186735" w:rsidRDefault="00A4554C">
                      <w:pPr>
                        <w:spacing w:line="258" w:lineRule="auto"/>
                        <w:ind w:left="720" w:firstLine="1440"/>
                        <w:jc w:val="center"/>
                        <w:textDirection w:val="btLr"/>
                      </w:pPr>
                      <w:r>
                        <w:rPr>
                          <w:b/>
                        </w:rPr>
                        <w:t>2015-2016 SCHOOL ANNUAL REPORT COVER LETTER</w:t>
                      </w:r>
                    </w:p>
                    <w:p w:rsidR="00186735" w:rsidRDefault="00A4554C">
                      <w:pPr>
                        <w:spacing w:line="258" w:lineRule="auto"/>
                        <w:ind w:left="1440" w:firstLine="1440"/>
                        <w:jc w:val="center"/>
                        <w:textDirection w:val="btLr"/>
                      </w:pPr>
                      <w:r>
                        <w:rPr>
                          <w:b/>
                        </w:rPr>
                        <w:t>Jeff Jackson, Principal</w:t>
                      </w:r>
                    </w:p>
                    <w:p w:rsidR="00186735" w:rsidRDefault="00186735">
                      <w:pPr>
                        <w:spacing w:line="258" w:lineRule="auto"/>
                        <w:jc w:val="center"/>
                        <w:textDirection w:val="btLr"/>
                      </w:pPr>
                    </w:p>
                  </w:txbxContent>
                </v:textbox>
                <w10:wrap anchorx="margin"/>
              </v:rect>
            </w:pict>
          </mc:Fallback>
        </mc:AlternateContent>
      </w:r>
      <w:r>
        <w:rPr>
          <w:noProof/>
        </w:rPr>
        <w:drawing>
          <wp:anchor distT="0" distB="0" distL="114300" distR="114300" simplePos="0" relativeHeight="251659264" behindDoc="0" locked="0" layoutInCell="0" hidden="0" allowOverlap="1">
            <wp:simplePos x="0" y="0"/>
            <wp:positionH relativeFrom="margin">
              <wp:posOffset>840105</wp:posOffset>
            </wp:positionH>
            <wp:positionV relativeFrom="paragraph">
              <wp:posOffset>198120</wp:posOffset>
            </wp:positionV>
            <wp:extent cx="1021080" cy="948690"/>
            <wp:effectExtent l="0" t="0" r="0" b="0"/>
            <wp:wrapNone/>
            <wp:docPr id="1" name="image01.jpg" descr="Beal City Aggie"/>
            <wp:cNvGraphicFramePr/>
            <a:graphic xmlns:a="http://schemas.openxmlformats.org/drawingml/2006/main">
              <a:graphicData uri="http://schemas.openxmlformats.org/drawingml/2006/picture">
                <pic:pic xmlns:pic="http://schemas.openxmlformats.org/drawingml/2006/picture">
                  <pic:nvPicPr>
                    <pic:cNvPr id="0" name="image01.jpg" descr="Beal City Aggie"/>
                    <pic:cNvPicPr preferRelativeResize="0"/>
                  </pic:nvPicPr>
                  <pic:blipFill>
                    <a:blip r:embed="rId5"/>
                    <a:srcRect/>
                    <a:stretch>
                      <a:fillRect/>
                    </a:stretch>
                  </pic:blipFill>
                  <pic:spPr>
                    <a:xfrm>
                      <a:off x="0" y="0"/>
                      <a:ext cx="1021080" cy="948690"/>
                    </a:xfrm>
                    <a:prstGeom prst="rect">
                      <a:avLst/>
                    </a:prstGeom>
                    <a:ln/>
                  </pic:spPr>
                </pic:pic>
              </a:graphicData>
            </a:graphic>
          </wp:anchor>
        </w:drawing>
      </w:r>
    </w:p>
    <w:p w:rsidR="00186735" w:rsidRDefault="00186735"/>
    <w:p w:rsidR="00186735" w:rsidRDefault="00186735"/>
    <w:p w:rsidR="00186735" w:rsidRDefault="00186735">
      <w:pPr>
        <w:rPr>
          <w:sz w:val="16"/>
          <w:szCs w:val="16"/>
        </w:rPr>
      </w:pPr>
    </w:p>
    <w:p w:rsidR="00186735" w:rsidRDefault="00186735">
      <w:pPr>
        <w:sectPr w:rsidR="00186735">
          <w:pgSz w:w="12240" w:h="15840"/>
          <w:pgMar w:top="360" w:right="360" w:bottom="360" w:left="360" w:header="0" w:footer="720" w:gutter="0"/>
          <w:pgNumType w:start="1"/>
          <w:cols w:num="2" w:space="720" w:equalWidth="0">
            <w:col w:w="5580" w:space="360"/>
            <w:col w:w="5580" w:space="0"/>
          </w:cols>
        </w:sectPr>
      </w:pPr>
    </w:p>
    <w:p w:rsidR="00186735" w:rsidRDefault="00186735">
      <w:pPr>
        <w:spacing w:after="0" w:line="276" w:lineRule="auto"/>
      </w:pPr>
    </w:p>
    <w:p w:rsidR="00186735" w:rsidRDefault="00A4554C">
      <w:pPr>
        <w:tabs>
          <w:tab w:val="left" w:pos="90"/>
          <w:tab w:val="left" w:pos="5670"/>
        </w:tabs>
        <w:ind w:left="-900"/>
      </w:pPr>
      <w:r>
        <w:t>&lt;</w:t>
      </w:r>
    </w:p>
    <w:p w:rsidR="00186735" w:rsidRDefault="00186735">
      <w:pPr>
        <w:tabs>
          <w:tab w:val="left" w:pos="90"/>
          <w:tab w:val="left" w:pos="5670"/>
        </w:tabs>
        <w:ind w:left="-900"/>
      </w:pPr>
    </w:p>
    <w:p w:rsidR="00186735" w:rsidRDefault="00186735">
      <w:pPr>
        <w:tabs>
          <w:tab w:val="left" w:pos="90"/>
          <w:tab w:val="left" w:pos="5670"/>
        </w:tabs>
        <w:ind w:left="-900"/>
      </w:pPr>
    </w:p>
    <w:p w:rsidR="00186735" w:rsidRDefault="00186735">
      <w:pPr>
        <w:sectPr w:rsidR="00186735">
          <w:type w:val="continuous"/>
          <w:pgSz w:w="12240" w:h="15840"/>
          <w:pgMar w:top="360" w:right="360" w:bottom="360" w:left="360" w:header="0" w:footer="720" w:gutter="0"/>
          <w:cols w:num="2" w:space="720" w:equalWidth="0">
            <w:col w:w="5760" w:space="0"/>
            <w:col w:w="5760" w:space="0"/>
          </w:cols>
        </w:sectPr>
      </w:pPr>
    </w:p>
    <w:p w:rsidR="00186735" w:rsidRDefault="00186735">
      <w:pPr>
        <w:rPr>
          <w:shd w:val="clear" w:color="auto" w:fill="F3F3F3"/>
        </w:rPr>
      </w:pPr>
    </w:p>
    <w:p w:rsidR="00186735" w:rsidRDefault="00A4554C">
      <w:pPr>
        <w:rPr>
          <w:sz w:val="40"/>
          <w:szCs w:val="40"/>
        </w:rPr>
      </w:pPr>
      <w:r>
        <w:rPr>
          <w:b/>
          <w:sz w:val="40"/>
          <w:szCs w:val="40"/>
        </w:rPr>
        <w:t>Principal’s Greeting/Message</w:t>
      </w:r>
    </w:p>
    <w:p w:rsidR="00186735" w:rsidRDefault="00A4554C">
      <w:pPr>
        <w:rPr>
          <w:shd w:val="clear" w:color="auto" w:fill="F3F3F3"/>
        </w:rPr>
        <w:sectPr w:rsidR="00186735">
          <w:type w:val="continuous"/>
          <w:pgSz w:w="12240" w:h="15840"/>
          <w:pgMar w:top="360" w:right="360" w:bottom="360" w:left="360" w:header="0" w:footer="720" w:gutter="0"/>
          <w:cols w:space="720"/>
        </w:sectPr>
      </w:pPr>
      <w:r>
        <w:t>January, 2017</w:t>
      </w:r>
      <w:r>
        <w:rPr>
          <w:shd w:val="clear" w:color="auto" w:fill="F3F3F3"/>
        </w:rPr>
        <w:tab/>
      </w:r>
    </w:p>
    <w:p w:rsidR="00186735" w:rsidRDefault="00A4554C">
      <w:r>
        <w:t>Dear Parents and Community Members:</w:t>
      </w:r>
    </w:p>
    <w:p w:rsidR="00186735" w:rsidRDefault="00A4554C">
      <w:r>
        <w:t>We are pleased to present you with the Annual Education Report (AER) which provides key information on the 2015-16 educational progress for the Beal City Jr/</w:t>
      </w:r>
      <w:proofErr w:type="spellStart"/>
      <w:r>
        <w:t>Sr</w:t>
      </w:r>
      <w:proofErr w:type="spellEnd"/>
      <w:r>
        <w:t xml:space="preserve"> High School. The AER addresses the complex reporting informa</w:t>
      </w:r>
      <w:r>
        <w:t>tion required by federal and state laws. The school’s report contains information about student assessment, accountability, and teacher quality. If you have any questions about the AER, please contact Jeffrey M. Jackson, principal, for assistance.</w:t>
      </w:r>
    </w:p>
    <w:p w:rsidR="00186735" w:rsidRDefault="00A4554C">
      <w:r>
        <w:t xml:space="preserve">The AER </w:t>
      </w:r>
      <w:r>
        <w:t>is available for you to review electronically by visiting</w:t>
      </w:r>
      <w:r>
        <w:rPr>
          <w:shd w:val="clear" w:color="auto" w:fill="F3F3F3"/>
        </w:rPr>
        <w:t xml:space="preserve"> </w:t>
      </w:r>
      <w:hyperlink r:id="rId6">
        <w:proofErr w:type="spellStart"/>
        <w:r>
          <w:rPr>
            <w:color w:val="1155CC"/>
            <w:u w:val="single"/>
          </w:rPr>
          <w:t>MISchoolData</w:t>
        </w:r>
        <w:proofErr w:type="spellEnd"/>
        <w:r>
          <w:rPr>
            <w:color w:val="1155CC"/>
            <w:u w:val="single"/>
          </w:rPr>
          <w:t>: Beal City High School</w:t>
        </w:r>
      </w:hyperlink>
      <w:r>
        <w:t xml:space="preserve"> or you may review a copy in the High Schools office.</w:t>
      </w:r>
    </w:p>
    <w:p w:rsidR="00186735" w:rsidRDefault="00A4554C">
      <w:pPr>
        <w:spacing w:after="0" w:line="240" w:lineRule="auto"/>
      </w:pPr>
      <w:r>
        <w:t xml:space="preserve">For the 2016-17 year, no new Priority or Focus schools were named; some Priority or Focus schools did have their status </w:t>
      </w:r>
      <w:proofErr w:type="gramStart"/>
      <w:r>
        <w:t>removed  because</w:t>
      </w:r>
      <w:proofErr w:type="gramEnd"/>
      <w:r>
        <w:t xml:space="preserve"> they met the exit criteria. New Reward schools were identified using school rankings and Beating the Odds information. </w:t>
      </w:r>
      <w:r>
        <w:t xml:space="preserve">A Focus school is one that has a large achievement gap between the highest and lowest achieving 30% of schools. A Priority school is one whose achievement and growth is in the lowest 5% of all schools in the state. A Reward school is one that has achieved </w:t>
      </w:r>
      <w:r>
        <w:t>one or more of the following distinctions: top 5% of schools on the Top-to-Bottom School Rankings, top 5% of schools making the greatest gains in achievement (improvement metric), or “Beating the Odds” by outperforming the school’s predicted ranking and/or</w:t>
      </w:r>
      <w:r>
        <w:t xml:space="preserve"> similar schools. Some schools are not identified with any of these labels. In these cases no label is given. Our school was identified as a school without a label at this time.</w:t>
      </w:r>
    </w:p>
    <w:p w:rsidR="00186735" w:rsidRDefault="00186735">
      <w:pPr>
        <w:spacing w:after="0" w:line="240" w:lineRule="auto"/>
      </w:pPr>
    </w:p>
    <w:p w:rsidR="00186735" w:rsidRDefault="00A4554C">
      <w:pPr>
        <w:spacing w:after="0" w:line="240" w:lineRule="auto"/>
      </w:pPr>
      <w:r>
        <w:t>The report summarizes the information for mandated areas. As you will see, an</w:t>
      </w:r>
      <w:r>
        <w:t>d hopefully experience, Beal City Jr/</w:t>
      </w:r>
      <w:proofErr w:type="spellStart"/>
      <w:r>
        <w:t>Sr</w:t>
      </w:r>
      <w:proofErr w:type="spellEnd"/>
      <w:r>
        <w:t xml:space="preserve"> High School continues to provide an outstanding well rounded educational experience for every student. Working together with </w:t>
      </w:r>
      <w:proofErr w:type="gramStart"/>
      <w:r>
        <w:t>parents</w:t>
      </w:r>
      <w:proofErr w:type="gramEnd"/>
      <w:r>
        <w:t>, students, teachers, administrators, and community, we will continue to work toward</w:t>
      </w:r>
      <w:r>
        <w:t xml:space="preserve"> accomplishing our mission which is: </w:t>
      </w:r>
    </w:p>
    <w:p w:rsidR="00186735" w:rsidRDefault="00186735">
      <w:pPr>
        <w:spacing w:after="0" w:line="240" w:lineRule="auto"/>
      </w:pPr>
    </w:p>
    <w:p w:rsidR="00186735" w:rsidRDefault="00A4554C">
      <w:pPr>
        <w:spacing w:after="0" w:line="240" w:lineRule="auto"/>
      </w:pPr>
      <w:r>
        <w:t>Beal City Schools, in harmony with home and community, will educate our children in a positive environment that meets individual needs and goals in order that all students successfully function in an ever-changing glo</w:t>
      </w:r>
      <w:r>
        <w:t>bal society</w:t>
      </w:r>
    </w:p>
    <w:p w:rsidR="00186735" w:rsidRDefault="00186735">
      <w:pPr>
        <w:spacing w:after="0" w:line="240" w:lineRule="auto"/>
        <w:ind w:right="-360"/>
      </w:pPr>
    </w:p>
    <w:p w:rsidR="00186735" w:rsidRDefault="00186735">
      <w:pPr>
        <w:spacing w:after="0" w:line="240" w:lineRule="auto"/>
      </w:pPr>
    </w:p>
    <w:p w:rsidR="00186735" w:rsidRDefault="00A4554C">
      <w:pPr>
        <w:spacing w:after="0" w:line="240" w:lineRule="auto"/>
      </w:pPr>
      <w:r>
        <w:t>Sincerely,</w:t>
      </w:r>
    </w:p>
    <w:p w:rsidR="00186735" w:rsidRDefault="00186735">
      <w:pPr>
        <w:spacing w:after="0" w:line="240" w:lineRule="auto"/>
      </w:pPr>
    </w:p>
    <w:p w:rsidR="00186735" w:rsidRDefault="00186735">
      <w:pPr>
        <w:spacing w:after="0" w:line="240" w:lineRule="auto"/>
      </w:pPr>
    </w:p>
    <w:p w:rsidR="00186735" w:rsidRDefault="00A4554C">
      <w:r>
        <w:t>Jeffrey M. Jackson</w:t>
      </w:r>
    </w:p>
    <w:p w:rsidR="00186735" w:rsidRDefault="00A4554C">
      <w:r>
        <w:t>Principal</w:t>
      </w:r>
    </w:p>
    <w:p w:rsidR="00186735" w:rsidRDefault="00A4554C">
      <w:r>
        <w:t>Beal City Jr/</w:t>
      </w:r>
      <w:proofErr w:type="spellStart"/>
      <w:r>
        <w:t>Sr</w:t>
      </w:r>
      <w:proofErr w:type="spellEnd"/>
      <w:r>
        <w:t xml:space="preserve"> High School</w:t>
      </w:r>
    </w:p>
    <w:p w:rsidR="00186735" w:rsidRDefault="00186735">
      <w:pPr>
        <w:rPr>
          <w:rFonts w:ascii="Verdana" w:eastAsia="Verdana" w:hAnsi="Verdana" w:cs="Verdana"/>
        </w:rPr>
      </w:pPr>
    </w:p>
    <w:p w:rsidR="00186735" w:rsidRDefault="00186735">
      <w:pPr>
        <w:jc w:val="center"/>
        <w:rPr>
          <w:b/>
          <w:sz w:val="32"/>
          <w:szCs w:val="32"/>
        </w:rPr>
      </w:pPr>
    </w:p>
    <w:p w:rsidR="00186735" w:rsidRDefault="00186735">
      <w:pPr>
        <w:jc w:val="center"/>
        <w:rPr>
          <w:b/>
          <w:sz w:val="32"/>
          <w:szCs w:val="32"/>
        </w:rPr>
      </w:pPr>
    </w:p>
    <w:p w:rsidR="00186735" w:rsidRDefault="00A4554C">
      <w:pPr>
        <w:jc w:val="center"/>
        <w:rPr>
          <w:b/>
        </w:rPr>
      </w:pPr>
      <w:r>
        <w:rPr>
          <w:b/>
          <w:sz w:val="32"/>
          <w:szCs w:val="32"/>
        </w:rPr>
        <w:t>Description of the School</w:t>
      </w:r>
    </w:p>
    <w:p w:rsidR="00186735" w:rsidRDefault="00A4554C">
      <w:r>
        <w:lastRenderedPageBreak/>
        <w:t>Beal City Jr/</w:t>
      </w:r>
      <w:proofErr w:type="spellStart"/>
      <w:r>
        <w:t>Sr</w:t>
      </w:r>
      <w:proofErr w:type="spellEnd"/>
      <w:r>
        <w:t xml:space="preserve"> High School serves students in grade 7th – 12th. Programs provided at the school include Special Education Resource Room services, Band, Computers, CTE classes, Art, Spanish as well as </w:t>
      </w:r>
      <w:proofErr w:type="spellStart"/>
      <w:r>
        <w:t>Agri</w:t>
      </w:r>
      <w:proofErr w:type="spellEnd"/>
      <w:r>
        <w:t>-science classes. Beal City Jr/</w:t>
      </w:r>
      <w:proofErr w:type="spellStart"/>
      <w:r>
        <w:t>Sr</w:t>
      </w:r>
      <w:proofErr w:type="spellEnd"/>
      <w:r>
        <w:t xml:space="preserve"> High School provi</w:t>
      </w:r>
      <w:r>
        <w:t xml:space="preserve">des opportunities for students to take Gratiot-Isabella Tech Center classes, Dual enrollment classes, along with </w:t>
      </w:r>
      <w:proofErr w:type="gramStart"/>
      <w:r>
        <w:t>Online</w:t>
      </w:r>
      <w:proofErr w:type="gramEnd"/>
      <w:r>
        <w:t xml:space="preserve"> classes to enhance their education. Additional educational opportunities are provided to students through assemblies, FFA, NHS, Student </w:t>
      </w:r>
      <w:r>
        <w:t xml:space="preserve">Council, TEMPO, YIG, Drama and Spanish Club. </w:t>
      </w:r>
    </w:p>
    <w:p w:rsidR="00186735" w:rsidRDefault="00186735">
      <w:pPr>
        <w:spacing w:after="0" w:line="240" w:lineRule="auto"/>
        <w:rPr>
          <w:sz w:val="20"/>
          <w:szCs w:val="20"/>
        </w:rPr>
      </w:pPr>
    </w:p>
    <w:p w:rsidR="00186735" w:rsidRDefault="00A4554C">
      <w:pPr>
        <w:jc w:val="center"/>
        <w:rPr>
          <w:b/>
          <w:sz w:val="32"/>
          <w:szCs w:val="32"/>
        </w:rPr>
      </w:pPr>
      <w:r>
        <w:rPr>
          <w:b/>
          <w:sz w:val="32"/>
          <w:szCs w:val="32"/>
        </w:rPr>
        <w:t>Process for Assigning Pupils to the School</w:t>
      </w:r>
    </w:p>
    <w:p w:rsidR="00186735" w:rsidRDefault="00A4554C">
      <w:pPr>
        <w:spacing w:after="0" w:line="240" w:lineRule="auto"/>
      </w:pPr>
      <w:r>
        <w:t>All district pupils in</w:t>
      </w:r>
      <w:r>
        <w:t xml:space="preserve"> 7th - 12th</w:t>
      </w:r>
      <w:r>
        <w:t xml:space="preserve"> are assigned to</w:t>
      </w:r>
      <w:r>
        <w:t xml:space="preserve"> Beal City Jr/</w:t>
      </w:r>
      <w:proofErr w:type="spellStart"/>
      <w:r>
        <w:t>Sr</w:t>
      </w:r>
      <w:proofErr w:type="spellEnd"/>
      <w:r>
        <w:t xml:space="preserve"> High School</w:t>
      </w:r>
      <w:r>
        <w:t xml:space="preserve"> since there is only one building in this district that serves this grade span of pupils.</w:t>
      </w:r>
      <w:r>
        <w:t xml:space="preserve">  Students may also be assigned to this building for a program offered that better meets their educational needs.  </w:t>
      </w:r>
    </w:p>
    <w:p w:rsidR="00186735" w:rsidRDefault="00A4554C">
      <w:pPr>
        <w:spacing w:after="0" w:line="240" w:lineRule="auto"/>
      </w:pPr>
      <w:r>
        <w:t xml:space="preserve">  </w:t>
      </w:r>
    </w:p>
    <w:p w:rsidR="00186735" w:rsidRDefault="00186735">
      <w:pPr>
        <w:spacing w:after="0" w:line="240" w:lineRule="auto"/>
        <w:rPr>
          <w:sz w:val="20"/>
          <w:szCs w:val="20"/>
        </w:rPr>
      </w:pPr>
    </w:p>
    <w:p w:rsidR="00186735" w:rsidRDefault="00A4554C">
      <w:pPr>
        <w:jc w:val="center"/>
        <w:rPr>
          <w:b/>
          <w:sz w:val="32"/>
          <w:szCs w:val="32"/>
        </w:rPr>
      </w:pPr>
      <w:r>
        <w:rPr>
          <w:b/>
          <w:sz w:val="32"/>
          <w:szCs w:val="32"/>
        </w:rPr>
        <w:t>Status of 3-5 Year School Improvement Plan</w:t>
      </w:r>
    </w:p>
    <w:p w:rsidR="00186735" w:rsidRDefault="00A4554C">
      <w:pPr>
        <w:spacing w:after="0" w:line="240" w:lineRule="auto"/>
        <w:ind w:left="43"/>
      </w:pPr>
      <w:r>
        <w:t xml:space="preserve">A copy of the School Improvement Plan is available at </w:t>
      </w:r>
      <w:hyperlink r:id="rId7">
        <w:r>
          <w:rPr>
            <w:color w:val="1155CC"/>
            <w:u w:val="single"/>
          </w:rPr>
          <w:t>www.bealcityschools.net</w:t>
        </w:r>
      </w:hyperlink>
      <w:r>
        <w:t xml:space="preserve">. </w:t>
      </w:r>
      <w:r>
        <w:t xml:space="preserve">The School Improvement Team, composed </w:t>
      </w:r>
      <w:proofErr w:type="gramStart"/>
      <w:r>
        <w:t>of  focus</w:t>
      </w:r>
      <w:proofErr w:type="gramEnd"/>
      <w:r>
        <w:t xml:space="preserve"> groups, meets regularly during the school year.  The purpose of the team is to develop, review and evaluate goals, objectives and strategies for the School Improvement Plan</w:t>
      </w:r>
      <w:r>
        <w:t xml:space="preserve">. The School Improvement Team facilitates the continuous collection and analysis of academic assessment data to guide instruction and evaluate progress toward student achievement goals.   </w:t>
      </w:r>
    </w:p>
    <w:p w:rsidR="00186735" w:rsidRDefault="00A4554C">
      <w:pPr>
        <w:spacing w:after="0" w:line="240" w:lineRule="auto"/>
        <w:ind w:left="43"/>
        <w:rPr>
          <w:sz w:val="20"/>
          <w:szCs w:val="20"/>
        </w:rPr>
      </w:pPr>
      <w:r>
        <w:rPr>
          <w:sz w:val="20"/>
          <w:szCs w:val="20"/>
        </w:rPr>
        <w:t xml:space="preserve"> </w:t>
      </w:r>
    </w:p>
    <w:tbl>
      <w:tblPr>
        <w:tblStyle w:val="a"/>
        <w:tblW w:w="11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0"/>
        <w:gridCol w:w="1575"/>
        <w:gridCol w:w="1410"/>
        <w:gridCol w:w="1440"/>
      </w:tblGrid>
      <w:tr w:rsidR="00186735">
        <w:tc>
          <w:tcPr>
            <w:tcW w:w="6810" w:type="dxa"/>
            <w:vMerge w:val="restart"/>
            <w:shd w:val="clear" w:color="auto" w:fill="FFFFFF"/>
            <w:vAlign w:val="center"/>
          </w:tcPr>
          <w:p w:rsidR="00186735" w:rsidRDefault="00A4554C">
            <w:pPr>
              <w:jc w:val="center"/>
            </w:pPr>
            <w:r>
              <w:t>GOALS</w:t>
            </w:r>
          </w:p>
        </w:tc>
        <w:tc>
          <w:tcPr>
            <w:tcW w:w="4425" w:type="dxa"/>
            <w:gridSpan w:val="3"/>
            <w:shd w:val="clear" w:color="auto" w:fill="FFFFFF"/>
          </w:tcPr>
          <w:p w:rsidR="00186735" w:rsidRDefault="00A4554C">
            <w:pPr>
              <w:jc w:val="center"/>
            </w:pPr>
            <w:r>
              <w:t>PROGRESS</w:t>
            </w:r>
          </w:p>
        </w:tc>
      </w:tr>
      <w:tr w:rsidR="00186735">
        <w:tc>
          <w:tcPr>
            <w:tcW w:w="6810" w:type="dxa"/>
            <w:vMerge/>
            <w:shd w:val="clear" w:color="auto" w:fill="FFFFFF"/>
            <w:vAlign w:val="center"/>
          </w:tcPr>
          <w:p w:rsidR="00186735" w:rsidRDefault="00186735">
            <w:pPr>
              <w:rPr>
                <w:highlight w:val="red"/>
              </w:rPr>
            </w:pPr>
          </w:p>
        </w:tc>
        <w:tc>
          <w:tcPr>
            <w:tcW w:w="1575" w:type="dxa"/>
            <w:shd w:val="clear" w:color="auto" w:fill="FFFFFF"/>
          </w:tcPr>
          <w:p w:rsidR="00186735" w:rsidRDefault="00A4554C">
            <w:pPr>
              <w:jc w:val="center"/>
            </w:pPr>
            <w:r>
              <w:t>NOT YET BEGUN</w:t>
            </w:r>
          </w:p>
        </w:tc>
        <w:tc>
          <w:tcPr>
            <w:tcW w:w="1410" w:type="dxa"/>
            <w:shd w:val="clear" w:color="auto" w:fill="FFFFFF"/>
          </w:tcPr>
          <w:p w:rsidR="00186735" w:rsidRDefault="00A4554C">
            <w:pPr>
              <w:jc w:val="center"/>
            </w:pPr>
            <w:r>
              <w:t>MAKING PROGRESS</w:t>
            </w:r>
          </w:p>
        </w:tc>
        <w:tc>
          <w:tcPr>
            <w:tcW w:w="1440" w:type="dxa"/>
            <w:shd w:val="clear" w:color="auto" w:fill="FFFFFF"/>
          </w:tcPr>
          <w:p w:rsidR="00186735" w:rsidRDefault="00A4554C">
            <w:pPr>
              <w:jc w:val="center"/>
            </w:pPr>
            <w:r>
              <w:t>COMPLETED</w:t>
            </w:r>
          </w:p>
        </w:tc>
      </w:tr>
      <w:tr w:rsidR="00186735">
        <w:tc>
          <w:tcPr>
            <w:tcW w:w="11235" w:type="dxa"/>
            <w:gridSpan w:val="4"/>
            <w:shd w:val="clear" w:color="auto" w:fill="E0E0E0"/>
          </w:tcPr>
          <w:p w:rsidR="00186735" w:rsidRDefault="00A4554C">
            <w:pPr>
              <w:rPr>
                <w:b/>
                <w:i/>
                <w:sz w:val="20"/>
                <w:szCs w:val="20"/>
                <w:u w:val="single"/>
              </w:rPr>
            </w:pPr>
            <w:r>
              <w:rPr>
                <w:b/>
                <w:i/>
                <w:sz w:val="20"/>
                <w:szCs w:val="20"/>
                <w:u w:val="single"/>
              </w:rPr>
              <w:t>MATH GOAL</w:t>
            </w:r>
            <w:r>
              <w:rPr>
                <w:b/>
                <w:i/>
                <w:sz w:val="20"/>
                <w:szCs w:val="20"/>
              </w:rPr>
              <w:t xml:space="preserve">: </w:t>
            </w:r>
            <w:r>
              <w:rPr>
                <w:b/>
                <w:sz w:val="20"/>
                <w:szCs w:val="20"/>
              </w:rPr>
              <w:t>Beal City students will use online test prep to improve standardized test scores</w:t>
            </w:r>
          </w:p>
        </w:tc>
      </w:tr>
      <w:tr w:rsidR="00186735">
        <w:tc>
          <w:tcPr>
            <w:tcW w:w="6810" w:type="dxa"/>
            <w:tcBorders>
              <w:bottom w:val="single" w:sz="4" w:space="0" w:color="000000"/>
            </w:tcBorders>
            <w:shd w:val="clear" w:color="auto" w:fill="FFFFFF"/>
          </w:tcPr>
          <w:p w:rsidR="00186735" w:rsidRDefault="00A4554C">
            <w:pPr>
              <w:numPr>
                <w:ilvl w:val="0"/>
                <w:numId w:val="4"/>
              </w:numPr>
              <w:spacing w:after="0" w:line="276" w:lineRule="auto"/>
              <w:ind w:hanging="360"/>
              <w:contextualSpacing/>
              <w:rPr>
                <w:sz w:val="20"/>
                <w:szCs w:val="20"/>
              </w:rPr>
            </w:pPr>
            <w:r>
              <w:rPr>
                <w:b/>
                <w:sz w:val="20"/>
                <w:szCs w:val="20"/>
                <w:u w:val="single"/>
              </w:rPr>
              <w:t>STRATEGY</w:t>
            </w:r>
            <w:r>
              <w:rPr>
                <w:b/>
                <w:sz w:val="20"/>
                <w:szCs w:val="20"/>
              </w:rPr>
              <w:t>: Online Test Prep - Online test prep will be used in classrooms and staff members will be available on weekends to give students online test prep opportunities. Data will then be used to guide instruction and in turn improve test scores.</w:t>
            </w:r>
          </w:p>
        </w:tc>
        <w:tc>
          <w:tcPr>
            <w:tcW w:w="1575" w:type="dxa"/>
            <w:tcBorders>
              <w:bottom w:val="single" w:sz="4" w:space="0" w:color="000000"/>
            </w:tcBorders>
            <w:shd w:val="clear" w:color="auto" w:fill="FFFFFF"/>
          </w:tcPr>
          <w:p w:rsidR="00186735" w:rsidRDefault="00186735">
            <w:pPr>
              <w:rPr>
                <w:sz w:val="20"/>
                <w:szCs w:val="20"/>
                <w:highlight w:val="red"/>
              </w:rPr>
            </w:pPr>
          </w:p>
        </w:tc>
        <w:tc>
          <w:tcPr>
            <w:tcW w:w="1410" w:type="dxa"/>
            <w:tcBorders>
              <w:bottom w:val="single" w:sz="4" w:space="0" w:color="000000"/>
            </w:tcBorders>
            <w:shd w:val="clear" w:color="auto" w:fill="FFFFFF"/>
          </w:tcPr>
          <w:p w:rsidR="00186735" w:rsidRDefault="00A4554C">
            <w:pPr>
              <w:jc w:val="center"/>
              <w:rPr>
                <w:b/>
                <w:i/>
                <w:sz w:val="20"/>
                <w:szCs w:val="20"/>
                <w:u w:val="single"/>
              </w:rPr>
            </w:pPr>
            <w:r>
              <w:rPr>
                <w:b/>
                <w:i/>
                <w:sz w:val="20"/>
                <w:szCs w:val="20"/>
                <w:u w:val="single"/>
              </w:rPr>
              <w:t>X</w:t>
            </w:r>
          </w:p>
        </w:tc>
        <w:tc>
          <w:tcPr>
            <w:tcW w:w="1440" w:type="dxa"/>
            <w:tcBorders>
              <w:bottom w:val="single" w:sz="4" w:space="0" w:color="000000"/>
            </w:tcBorders>
            <w:shd w:val="clear" w:color="auto" w:fill="FFFFFF"/>
          </w:tcPr>
          <w:p w:rsidR="00186735" w:rsidRDefault="00186735">
            <w:pPr>
              <w:rPr>
                <w:sz w:val="20"/>
                <w:szCs w:val="20"/>
                <w:highlight w:val="red"/>
              </w:rPr>
            </w:pPr>
          </w:p>
        </w:tc>
      </w:tr>
      <w:tr w:rsidR="00186735">
        <w:tc>
          <w:tcPr>
            <w:tcW w:w="11235" w:type="dxa"/>
            <w:gridSpan w:val="4"/>
            <w:shd w:val="clear" w:color="auto" w:fill="E0E0E0"/>
          </w:tcPr>
          <w:p w:rsidR="00186735" w:rsidRDefault="00A4554C">
            <w:pPr>
              <w:spacing w:after="0" w:line="276" w:lineRule="auto"/>
              <w:rPr>
                <w:b/>
                <w:sz w:val="20"/>
                <w:szCs w:val="20"/>
              </w:rPr>
            </w:pPr>
            <w:r>
              <w:rPr>
                <w:b/>
                <w:i/>
                <w:sz w:val="20"/>
                <w:szCs w:val="20"/>
                <w:u w:val="single"/>
              </w:rPr>
              <w:t>ELA GOAL</w:t>
            </w:r>
            <w:r>
              <w:rPr>
                <w:b/>
                <w:i/>
                <w:sz w:val="20"/>
                <w:szCs w:val="20"/>
              </w:rPr>
              <w:t xml:space="preserve">: </w:t>
            </w:r>
            <w:r>
              <w:rPr>
                <w:b/>
                <w:sz w:val="20"/>
                <w:szCs w:val="20"/>
              </w:rPr>
              <w:t>All students at Beal City Jr/</w:t>
            </w:r>
            <w:proofErr w:type="spellStart"/>
            <w:r>
              <w:rPr>
                <w:b/>
                <w:sz w:val="20"/>
                <w:szCs w:val="20"/>
              </w:rPr>
              <w:t>Sr</w:t>
            </w:r>
            <w:proofErr w:type="spellEnd"/>
            <w:r>
              <w:rPr>
                <w:b/>
                <w:sz w:val="20"/>
                <w:szCs w:val="20"/>
              </w:rPr>
              <w:t xml:space="preserve"> High School will become proficient writers</w:t>
            </w:r>
          </w:p>
        </w:tc>
      </w:tr>
      <w:tr w:rsidR="00186735">
        <w:tc>
          <w:tcPr>
            <w:tcW w:w="6810" w:type="dxa"/>
            <w:shd w:val="clear" w:color="auto" w:fill="FFFFFF"/>
          </w:tcPr>
          <w:p w:rsidR="00186735" w:rsidRDefault="00A4554C">
            <w:pPr>
              <w:numPr>
                <w:ilvl w:val="0"/>
                <w:numId w:val="2"/>
              </w:numPr>
              <w:spacing w:after="0" w:line="240" w:lineRule="auto"/>
              <w:ind w:hanging="360"/>
              <w:contextualSpacing/>
              <w:rPr>
                <w:b/>
                <w:sz w:val="20"/>
                <w:szCs w:val="20"/>
              </w:rPr>
            </w:pPr>
            <w:r>
              <w:rPr>
                <w:b/>
                <w:sz w:val="20"/>
                <w:szCs w:val="20"/>
              </w:rPr>
              <w:t>All ELA 7-12 will participate in a book study of Kelly Gallagher's Write Like This: Teaching Real World Writing Through Modeling and Mentoring Texts</w:t>
            </w:r>
          </w:p>
        </w:tc>
        <w:tc>
          <w:tcPr>
            <w:tcW w:w="1575" w:type="dxa"/>
            <w:shd w:val="clear" w:color="auto" w:fill="FFFFFF"/>
          </w:tcPr>
          <w:p w:rsidR="00186735" w:rsidRDefault="00186735">
            <w:pPr>
              <w:rPr>
                <w:sz w:val="20"/>
                <w:szCs w:val="20"/>
                <w:highlight w:val="red"/>
              </w:rPr>
            </w:pPr>
          </w:p>
        </w:tc>
        <w:tc>
          <w:tcPr>
            <w:tcW w:w="1410" w:type="dxa"/>
            <w:shd w:val="clear" w:color="auto" w:fill="FFFFFF"/>
          </w:tcPr>
          <w:p w:rsidR="00186735" w:rsidRDefault="00A4554C">
            <w:pPr>
              <w:jc w:val="center"/>
              <w:rPr>
                <w:sz w:val="20"/>
                <w:szCs w:val="20"/>
                <w:highlight w:val="red"/>
              </w:rPr>
            </w:pPr>
            <w:r>
              <w:rPr>
                <w:b/>
                <w:i/>
                <w:sz w:val="20"/>
                <w:szCs w:val="20"/>
                <w:u w:val="single"/>
              </w:rPr>
              <w:t>X</w:t>
            </w:r>
          </w:p>
        </w:tc>
        <w:tc>
          <w:tcPr>
            <w:tcW w:w="1440" w:type="dxa"/>
            <w:shd w:val="clear" w:color="auto" w:fill="FFFFFF"/>
          </w:tcPr>
          <w:p w:rsidR="00186735" w:rsidRDefault="00186735">
            <w:pPr>
              <w:rPr>
                <w:sz w:val="20"/>
                <w:szCs w:val="20"/>
                <w:highlight w:val="red"/>
              </w:rPr>
            </w:pPr>
          </w:p>
        </w:tc>
      </w:tr>
      <w:tr w:rsidR="00186735">
        <w:tc>
          <w:tcPr>
            <w:tcW w:w="11235" w:type="dxa"/>
            <w:gridSpan w:val="4"/>
            <w:shd w:val="clear" w:color="auto" w:fill="E0E0E0"/>
          </w:tcPr>
          <w:p w:rsidR="00186735" w:rsidRDefault="00A4554C">
            <w:pPr>
              <w:spacing w:after="0" w:line="276" w:lineRule="auto"/>
              <w:rPr>
                <w:b/>
                <w:sz w:val="20"/>
                <w:szCs w:val="20"/>
                <w:highlight w:val="white"/>
              </w:rPr>
            </w:pPr>
            <w:r>
              <w:rPr>
                <w:b/>
                <w:i/>
                <w:sz w:val="20"/>
                <w:szCs w:val="20"/>
                <w:highlight w:val="white"/>
                <w:u w:val="single"/>
              </w:rPr>
              <w:t>SCIENCE GOAL</w:t>
            </w:r>
            <w:r>
              <w:rPr>
                <w:b/>
                <w:i/>
                <w:sz w:val="20"/>
                <w:szCs w:val="20"/>
                <w:highlight w:val="white"/>
              </w:rPr>
              <w:t xml:space="preserve">: </w:t>
            </w:r>
            <w:r>
              <w:rPr>
                <w:b/>
                <w:sz w:val="20"/>
                <w:szCs w:val="20"/>
                <w:highlight w:val="white"/>
              </w:rPr>
              <w:t>All Students at Beal City Jr/</w:t>
            </w:r>
            <w:proofErr w:type="spellStart"/>
            <w:r>
              <w:rPr>
                <w:b/>
                <w:sz w:val="20"/>
                <w:szCs w:val="20"/>
                <w:highlight w:val="white"/>
              </w:rPr>
              <w:t>Sr</w:t>
            </w:r>
            <w:proofErr w:type="spellEnd"/>
            <w:r>
              <w:rPr>
                <w:b/>
                <w:sz w:val="20"/>
                <w:szCs w:val="20"/>
                <w:highlight w:val="white"/>
              </w:rPr>
              <w:t xml:space="preserve"> High School will participate in Laboratory and Hands on</w:t>
            </w:r>
          </w:p>
          <w:p w:rsidR="00186735" w:rsidRDefault="00A4554C">
            <w:pPr>
              <w:rPr>
                <w:sz w:val="20"/>
                <w:szCs w:val="20"/>
              </w:rPr>
            </w:pPr>
            <w:r>
              <w:rPr>
                <w:b/>
                <w:sz w:val="20"/>
                <w:szCs w:val="20"/>
                <w:highlight w:val="white"/>
              </w:rPr>
              <w:t>Activities</w:t>
            </w:r>
          </w:p>
        </w:tc>
      </w:tr>
      <w:tr w:rsidR="00186735">
        <w:tc>
          <w:tcPr>
            <w:tcW w:w="6810" w:type="dxa"/>
            <w:shd w:val="clear" w:color="auto" w:fill="FFFFFF"/>
          </w:tcPr>
          <w:p w:rsidR="00186735" w:rsidRDefault="00A4554C">
            <w:pPr>
              <w:numPr>
                <w:ilvl w:val="0"/>
                <w:numId w:val="1"/>
              </w:numPr>
              <w:spacing w:after="0" w:line="276" w:lineRule="auto"/>
              <w:ind w:hanging="360"/>
              <w:contextualSpacing/>
              <w:rPr>
                <w:b/>
                <w:sz w:val="20"/>
                <w:szCs w:val="20"/>
              </w:rPr>
            </w:pPr>
            <w:r>
              <w:rPr>
                <w:b/>
                <w:sz w:val="20"/>
                <w:szCs w:val="20"/>
                <w:u w:val="single"/>
              </w:rPr>
              <w:t>STRATEGY</w:t>
            </w:r>
            <w:r>
              <w:rPr>
                <w:b/>
                <w:sz w:val="20"/>
                <w:szCs w:val="20"/>
              </w:rPr>
              <w:t xml:space="preserve">: Improve Hands-on Activities - Staff will expand vocabulary skills by creating an exam for every Science class that will allow students to analyze graphs and charts to assist with gathering information. Staff will also pay close attention to the upcoming </w:t>
            </w:r>
            <w:r>
              <w:rPr>
                <w:b/>
                <w:sz w:val="20"/>
                <w:szCs w:val="20"/>
              </w:rPr>
              <w:t>National Standards.</w:t>
            </w:r>
          </w:p>
          <w:p w:rsidR="00186735" w:rsidRDefault="00186735">
            <w:pPr>
              <w:spacing w:after="0" w:line="240" w:lineRule="auto"/>
              <w:rPr>
                <w:sz w:val="20"/>
                <w:szCs w:val="20"/>
                <w:highlight w:val="red"/>
              </w:rPr>
            </w:pPr>
          </w:p>
        </w:tc>
        <w:tc>
          <w:tcPr>
            <w:tcW w:w="1575" w:type="dxa"/>
            <w:shd w:val="clear" w:color="auto" w:fill="FFFFFF"/>
          </w:tcPr>
          <w:p w:rsidR="00186735" w:rsidRDefault="00186735">
            <w:pPr>
              <w:rPr>
                <w:sz w:val="20"/>
                <w:szCs w:val="20"/>
                <w:highlight w:val="red"/>
              </w:rPr>
            </w:pPr>
          </w:p>
        </w:tc>
        <w:tc>
          <w:tcPr>
            <w:tcW w:w="1410" w:type="dxa"/>
            <w:shd w:val="clear" w:color="auto" w:fill="FFFFFF"/>
          </w:tcPr>
          <w:p w:rsidR="00186735" w:rsidRDefault="00A4554C">
            <w:pPr>
              <w:jc w:val="center"/>
              <w:rPr>
                <w:sz w:val="20"/>
                <w:szCs w:val="20"/>
                <w:highlight w:val="red"/>
              </w:rPr>
            </w:pPr>
            <w:r>
              <w:rPr>
                <w:b/>
                <w:i/>
                <w:sz w:val="20"/>
                <w:szCs w:val="20"/>
                <w:u w:val="single"/>
              </w:rPr>
              <w:t>X</w:t>
            </w:r>
          </w:p>
        </w:tc>
        <w:tc>
          <w:tcPr>
            <w:tcW w:w="1440" w:type="dxa"/>
            <w:shd w:val="clear" w:color="auto" w:fill="FFFFFF"/>
          </w:tcPr>
          <w:p w:rsidR="00186735" w:rsidRDefault="00186735">
            <w:pPr>
              <w:rPr>
                <w:sz w:val="20"/>
                <w:szCs w:val="20"/>
                <w:highlight w:val="red"/>
              </w:rPr>
            </w:pPr>
          </w:p>
        </w:tc>
      </w:tr>
      <w:tr w:rsidR="00186735">
        <w:tc>
          <w:tcPr>
            <w:tcW w:w="11235" w:type="dxa"/>
            <w:gridSpan w:val="4"/>
            <w:shd w:val="clear" w:color="auto" w:fill="E0E0E0"/>
          </w:tcPr>
          <w:p w:rsidR="00186735" w:rsidRDefault="00A4554C">
            <w:pPr>
              <w:spacing w:after="0" w:line="276" w:lineRule="auto"/>
              <w:rPr>
                <w:sz w:val="20"/>
                <w:szCs w:val="20"/>
              </w:rPr>
            </w:pPr>
            <w:r>
              <w:rPr>
                <w:b/>
                <w:i/>
                <w:sz w:val="20"/>
                <w:szCs w:val="20"/>
                <w:highlight w:val="white"/>
                <w:u w:val="single"/>
              </w:rPr>
              <w:t>SOCIAL STUDIES GOAL</w:t>
            </w:r>
            <w:r>
              <w:rPr>
                <w:b/>
                <w:i/>
                <w:sz w:val="20"/>
                <w:szCs w:val="20"/>
                <w:highlight w:val="white"/>
              </w:rPr>
              <w:t xml:space="preserve">: </w:t>
            </w:r>
            <w:r>
              <w:rPr>
                <w:b/>
                <w:sz w:val="20"/>
                <w:szCs w:val="20"/>
                <w:highlight w:val="white"/>
              </w:rPr>
              <w:t>All students will read effectively on current Social Studies concepts and issues within the Content area</w:t>
            </w:r>
          </w:p>
        </w:tc>
      </w:tr>
      <w:tr w:rsidR="00186735">
        <w:tc>
          <w:tcPr>
            <w:tcW w:w="6810" w:type="dxa"/>
            <w:shd w:val="clear" w:color="auto" w:fill="FFFFFF"/>
          </w:tcPr>
          <w:p w:rsidR="00186735" w:rsidRDefault="00A4554C">
            <w:pPr>
              <w:numPr>
                <w:ilvl w:val="0"/>
                <w:numId w:val="3"/>
              </w:numPr>
              <w:spacing w:after="0" w:line="276" w:lineRule="auto"/>
              <w:ind w:hanging="360"/>
              <w:contextualSpacing/>
              <w:rPr>
                <w:b/>
                <w:sz w:val="20"/>
                <w:szCs w:val="20"/>
              </w:rPr>
            </w:pPr>
            <w:r>
              <w:rPr>
                <w:b/>
                <w:sz w:val="20"/>
                <w:szCs w:val="20"/>
                <w:u w:val="single"/>
              </w:rPr>
              <w:t>STRATEGY</w:t>
            </w:r>
            <w:r>
              <w:rPr>
                <w:b/>
                <w:sz w:val="20"/>
                <w:szCs w:val="20"/>
              </w:rPr>
              <w:t>: Improving Reading Skill in Social Studies.  Staff will evaluate the effectiveness of curriculum for the 7-12 Social Studies Program, while continuing with local programming for the subject matter at hand.</w:t>
            </w:r>
          </w:p>
          <w:p w:rsidR="00186735" w:rsidRDefault="00186735">
            <w:pPr>
              <w:spacing w:after="0" w:line="240" w:lineRule="auto"/>
              <w:rPr>
                <w:sz w:val="20"/>
                <w:szCs w:val="20"/>
                <w:highlight w:val="red"/>
              </w:rPr>
            </w:pPr>
          </w:p>
        </w:tc>
        <w:tc>
          <w:tcPr>
            <w:tcW w:w="1575" w:type="dxa"/>
            <w:shd w:val="clear" w:color="auto" w:fill="FFFFFF"/>
          </w:tcPr>
          <w:p w:rsidR="00186735" w:rsidRDefault="00186735">
            <w:pPr>
              <w:rPr>
                <w:sz w:val="20"/>
                <w:szCs w:val="20"/>
                <w:highlight w:val="red"/>
              </w:rPr>
            </w:pPr>
          </w:p>
        </w:tc>
        <w:tc>
          <w:tcPr>
            <w:tcW w:w="1410" w:type="dxa"/>
            <w:shd w:val="clear" w:color="auto" w:fill="FFFFFF"/>
          </w:tcPr>
          <w:p w:rsidR="00186735" w:rsidRDefault="00A4554C">
            <w:pPr>
              <w:jc w:val="center"/>
              <w:rPr>
                <w:sz w:val="20"/>
                <w:szCs w:val="20"/>
                <w:highlight w:val="red"/>
              </w:rPr>
            </w:pPr>
            <w:r>
              <w:rPr>
                <w:b/>
                <w:i/>
                <w:sz w:val="20"/>
                <w:szCs w:val="20"/>
                <w:u w:val="single"/>
              </w:rPr>
              <w:t>X</w:t>
            </w:r>
          </w:p>
        </w:tc>
        <w:tc>
          <w:tcPr>
            <w:tcW w:w="1440" w:type="dxa"/>
            <w:shd w:val="clear" w:color="auto" w:fill="FFFFFF"/>
          </w:tcPr>
          <w:p w:rsidR="00186735" w:rsidRDefault="00186735">
            <w:pPr>
              <w:rPr>
                <w:sz w:val="20"/>
                <w:szCs w:val="20"/>
                <w:highlight w:val="red"/>
              </w:rPr>
            </w:pPr>
          </w:p>
        </w:tc>
      </w:tr>
    </w:tbl>
    <w:p w:rsidR="00186735" w:rsidRDefault="00186735">
      <w:pPr>
        <w:spacing w:after="0" w:line="240" w:lineRule="auto"/>
        <w:ind w:left="45"/>
        <w:rPr>
          <w:sz w:val="20"/>
          <w:szCs w:val="20"/>
        </w:rPr>
      </w:pPr>
    </w:p>
    <w:p w:rsidR="00186735" w:rsidRDefault="00186735">
      <w:pPr>
        <w:jc w:val="center"/>
        <w:rPr>
          <w:b/>
          <w:sz w:val="32"/>
          <w:szCs w:val="32"/>
        </w:rPr>
      </w:pPr>
    </w:p>
    <w:p w:rsidR="00186735" w:rsidRDefault="00A4554C">
      <w:pPr>
        <w:jc w:val="center"/>
        <w:rPr>
          <w:b/>
          <w:sz w:val="32"/>
          <w:szCs w:val="32"/>
        </w:rPr>
      </w:pPr>
      <w:r>
        <w:rPr>
          <w:b/>
          <w:sz w:val="32"/>
          <w:szCs w:val="32"/>
        </w:rPr>
        <w:t>Core Curriculum Status</w:t>
      </w:r>
    </w:p>
    <w:p w:rsidR="00186735" w:rsidRDefault="00A4554C">
      <w:pPr>
        <w:jc w:val="center"/>
      </w:pPr>
      <w:r>
        <w:lastRenderedPageBreak/>
        <w:t xml:space="preserve">A copy of the Core Curriculum is available </w:t>
      </w:r>
      <w:r>
        <w:t xml:space="preserve">at </w:t>
      </w:r>
      <w:hyperlink r:id="rId8">
        <w:r>
          <w:rPr>
            <w:color w:val="1155CC"/>
            <w:u w:val="single"/>
          </w:rPr>
          <w:t>www.bealcityschools.net</w:t>
        </w:r>
      </w:hyperlink>
      <w:r>
        <w:t xml:space="preserve"> or a copy may be provided through the HS office. </w:t>
      </w:r>
    </w:p>
    <w:p w:rsidR="00186735" w:rsidRDefault="00186735">
      <w:pPr>
        <w:spacing w:after="0" w:line="240" w:lineRule="auto"/>
      </w:pPr>
    </w:p>
    <w:p w:rsidR="00186735" w:rsidRDefault="00A4554C">
      <w:pPr>
        <w:spacing w:after="0" w:line="240" w:lineRule="auto"/>
        <w:rPr>
          <w:b/>
          <w:i/>
          <w:u w:val="single"/>
        </w:rPr>
      </w:pPr>
      <w:r>
        <w:rPr>
          <w:b/>
          <w:i/>
          <w:u w:val="single"/>
        </w:rPr>
        <w:t>English Language Arts</w:t>
      </w:r>
    </w:p>
    <w:p w:rsidR="00186735" w:rsidRDefault="00A4554C">
      <w:pPr>
        <w:spacing w:after="0" w:line="240" w:lineRule="auto"/>
      </w:pPr>
      <w:r>
        <w:t xml:space="preserve">The English Language Arts curriculum follows Michigan approved </w:t>
      </w:r>
      <w:r>
        <w:t xml:space="preserve">Common Core State Standards. The English Language Arts curriculum also </w:t>
      </w:r>
      <w:r>
        <w:t>supplements the curriculum with</w:t>
      </w:r>
      <w:r>
        <w:t xml:space="preserve"> the Grade Level Content Expectations as well as the High School Content Expectations approved by Michigan’s State Board of Education. Staff also utilize </w:t>
      </w:r>
      <w:r>
        <w:t xml:space="preserve">the College </w:t>
      </w:r>
      <w:r>
        <w:t>R</w:t>
      </w:r>
      <w:r>
        <w:t>eadiness Standards for SAT/ACT. Building educators utilize Pearson Literature textbooks verified by research conducted by staff and school improvement tea</w:t>
      </w:r>
      <w:r>
        <w:t>m</w:t>
      </w:r>
      <w:r>
        <w:t>. The English Language Arts curriculum was approved by our local Board of Education.</w:t>
      </w:r>
    </w:p>
    <w:p w:rsidR="00186735" w:rsidRDefault="00186735">
      <w:pPr>
        <w:spacing w:after="0" w:line="240" w:lineRule="auto"/>
        <w:rPr>
          <w:b/>
        </w:rPr>
      </w:pPr>
    </w:p>
    <w:p w:rsidR="00186735" w:rsidRDefault="00A4554C">
      <w:pPr>
        <w:spacing w:after="0" w:line="240" w:lineRule="auto"/>
        <w:rPr>
          <w:b/>
          <w:i/>
          <w:u w:val="single"/>
        </w:rPr>
      </w:pPr>
      <w:r>
        <w:rPr>
          <w:b/>
          <w:i/>
          <w:u w:val="single"/>
        </w:rPr>
        <w:t>Ma</w:t>
      </w:r>
      <w:r>
        <w:rPr>
          <w:b/>
          <w:i/>
          <w:u w:val="single"/>
        </w:rPr>
        <w:t xml:space="preserve">thematics </w:t>
      </w:r>
    </w:p>
    <w:p w:rsidR="00186735" w:rsidRDefault="00A4554C">
      <w:pPr>
        <w:spacing w:after="0" w:line="240" w:lineRule="auto"/>
      </w:pPr>
      <w:r>
        <w:t xml:space="preserve">The Mathematics curriculum follows Michigan approved Common Core State Standards. The Mathematics curriculum also </w:t>
      </w:r>
      <w:r>
        <w:t>supplements the curriculum with</w:t>
      </w:r>
      <w:r>
        <w:t xml:space="preserve"> the Grade Level Content Expectations as well as the High School Content Expectations approved by Mi</w:t>
      </w:r>
      <w:r>
        <w:t xml:space="preserve">chigan’s State Board of Education. Building educators utilize McDougal </w:t>
      </w:r>
      <w:proofErr w:type="spellStart"/>
      <w:r>
        <w:t>Littel</w:t>
      </w:r>
      <w:proofErr w:type="spellEnd"/>
      <w:r>
        <w:t xml:space="preserve"> and Glencoe textbooks verified by research conducted by staff and school improvement team. </w:t>
      </w:r>
      <w:r>
        <w:t xml:space="preserve">Staff also utilize the College Readiness Standards for SAT/ACT. </w:t>
      </w:r>
      <w:r>
        <w:t xml:space="preserve"> The Mathematics curric</w:t>
      </w:r>
      <w:r>
        <w:t xml:space="preserve">ulum was approved by our local Board of Education </w:t>
      </w:r>
    </w:p>
    <w:p w:rsidR="00186735" w:rsidRDefault="00186735">
      <w:pPr>
        <w:spacing w:after="0" w:line="240" w:lineRule="auto"/>
        <w:rPr>
          <w:b/>
        </w:rPr>
      </w:pPr>
    </w:p>
    <w:p w:rsidR="00186735" w:rsidRDefault="00A4554C">
      <w:pPr>
        <w:spacing w:after="0" w:line="240" w:lineRule="auto"/>
        <w:rPr>
          <w:b/>
          <w:i/>
          <w:u w:val="single"/>
        </w:rPr>
      </w:pPr>
      <w:r>
        <w:rPr>
          <w:b/>
          <w:i/>
          <w:u w:val="single"/>
        </w:rPr>
        <w:t xml:space="preserve">Science </w:t>
      </w:r>
    </w:p>
    <w:p w:rsidR="00186735" w:rsidRDefault="00A4554C">
      <w:pPr>
        <w:spacing w:after="0" w:line="240" w:lineRule="auto"/>
      </w:pPr>
      <w:r>
        <w:t>The Science curriculum follows the Grade Level Content Expectations approved by Michigan’s State Board of Education. In addition to the GLCE/HSCEs, the building is analyzing the Next Generation Science Standards</w:t>
      </w:r>
      <w:r>
        <w:t xml:space="preserve"> that are in the process of being </w:t>
      </w:r>
      <w:r>
        <w:t>state appro</w:t>
      </w:r>
      <w:r>
        <w:t xml:space="preserve">ved, these standards provide a </w:t>
      </w:r>
      <w:r>
        <w:t>roadmap</w:t>
      </w:r>
      <w:r>
        <w:t xml:space="preserve"> to future science instruction. Building educators utilize Holt, Glencoe and Harper &amp; Rowe textbooks verified by research conducted by staff and school improvement team The Science curriculum was approved by our local </w:t>
      </w:r>
      <w:r>
        <w:t>Board of Education</w:t>
      </w:r>
    </w:p>
    <w:p w:rsidR="00186735" w:rsidRDefault="00186735">
      <w:pPr>
        <w:spacing w:after="0" w:line="240" w:lineRule="auto"/>
      </w:pPr>
    </w:p>
    <w:p w:rsidR="00186735" w:rsidRDefault="00A4554C">
      <w:pPr>
        <w:spacing w:after="0" w:line="240" w:lineRule="auto"/>
        <w:rPr>
          <w:b/>
          <w:i/>
          <w:u w:val="single"/>
        </w:rPr>
      </w:pPr>
      <w:r>
        <w:rPr>
          <w:b/>
          <w:i/>
          <w:u w:val="single"/>
        </w:rPr>
        <w:t>Social Studies</w:t>
      </w:r>
    </w:p>
    <w:p w:rsidR="00186735" w:rsidRDefault="00A4554C">
      <w:pPr>
        <w:spacing w:after="0" w:line="240" w:lineRule="auto"/>
      </w:pPr>
      <w:r>
        <w:t xml:space="preserve">The Social Studies curriculum follows the Grade Level Content Expectations approved by Michigan’s State Board of Education. Building educators utilize McDougall </w:t>
      </w:r>
      <w:proofErr w:type="gramStart"/>
      <w:r>
        <w:t>Little</w:t>
      </w:r>
      <w:proofErr w:type="gramEnd"/>
      <w:r>
        <w:t xml:space="preserve"> and Glencoe textbooks verified by research conducted </w:t>
      </w:r>
      <w:r>
        <w:t>by staff and school improvement team. The Social Studies curriculum was approved by our local Board of Education.</w:t>
      </w:r>
    </w:p>
    <w:p w:rsidR="00186735" w:rsidRDefault="00186735">
      <w:pPr>
        <w:spacing w:after="0" w:line="240" w:lineRule="auto"/>
      </w:pPr>
    </w:p>
    <w:p w:rsidR="00186735" w:rsidRDefault="00A4554C">
      <w:pPr>
        <w:jc w:val="center"/>
        <w:rPr>
          <w:b/>
          <w:sz w:val="32"/>
          <w:szCs w:val="32"/>
        </w:rPr>
      </w:pPr>
      <w:r>
        <w:rPr>
          <w:b/>
          <w:sz w:val="32"/>
          <w:szCs w:val="32"/>
        </w:rPr>
        <w:t>Aggregate Local Assessment Data</w:t>
      </w:r>
    </w:p>
    <w:p w:rsidR="00186735" w:rsidRDefault="00A4554C">
      <w:pPr>
        <w:spacing w:after="0" w:line="240" w:lineRule="auto"/>
      </w:pPr>
      <w:r>
        <w:t>The Beal City Jr</w:t>
      </w:r>
      <w:proofErr w:type="gramStart"/>
      <w:r>
        <w:t>./</w:t>
      </w:r>
      <w:proofErr w:type="gramEnd"/>
      <w:r>
        <w:t>Sr. High School staff has aligned their curriculum to meet the current State Standards, Ben</w:t>
      </w:r>
      <w:r>
        <w:t>chmarks and High School Content Expectations. Assessments are based on the criteria set forth by the State of Michigan and the Federal Government. Chapter tests, unit tests and comprehensive tests are also based on these standards and are geared to the Sta</w:t>
      </w:r>
      <w:r>
        <w:t xml:space="preserve">te Michigan Merit Curriculum as well as the M-STEP/SAT tests that all students are required to take during the </w:t>
      </w:r>
      <w:proofErr w:type="gramStart"/>
      <w:r>
        <w:t>Spring</w:t>
      </w:r>
      <w:proofErr w:type="gramEnd"/>
      <w:r>
        <w:t xml:space="preserve"> of each year.</w:t>
      </w:r>
    </w:p>
    <w:p w:rsidR="00186735" w:rsidRDefault="00186735">
      <w:pPr>
        <w:spacing w:after="0" w:line="240" w:lineRule="auto"/>
      </w:pPr>
    </w:p>
    <w:p w:rsidR="00186735" w:rsidRDefault="00A4554C">
      <w:pPr>
        <w:jc w:val="center"/>
        <w:rPr>
          <w:b/>
          <w:sz w:val="32"/>
          <w:szCs w:val="32"/>
        </w:rPr>
      </w:pPr>
      <w:r>
        <w:rPr>
          <w:b/>
          <w:sz w:val="32"/>
          <w:szCs w:val="32"/>
        </w:rPr>
        <w:t>M-Step/SAT % Proficient</w:t>
      </w:r>
    </w:p>
    <w:tbl>
      <w:tblPr>
        <w:tblStyle w:val="a0"/>
        <w:tblW w:w="11100"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110"/>
        <w:gridCol w:w="1185"/>
        <w:gridCol w:w="1815"/>
        <w:gridCol w:w="900"/>
        <w:gridCol w:w="1080"/>
        <w:gridCol w:w="1380"/>
        <w:gridCol w:w="1755"/>
      </w:tblGrid>
      <w:tr w:rsidR="00186735">
        <w:tc>
          <w:tcPr>
            <w:tcW w:w="795" w:type="dxa"/>
            <w:vMerge w:val="restart"/>
            <w:tcBorders>
              <w:top w:val="single" w:sz="12" w:space="0" w:color="000000"/>
              <w:left w:val="single" w:sz="12" w:space="0" w:color="000000"/>
              <w:bottom w:val="single" w:sz="8" w:space="0" w:color="000000"/>
              <w:right w:val="single" w:sz="8" w:space="0" w:color="000000"/>
            </w:tcBorders>
            <w:shd w:val="clear" w:color="auto" w:fill="D9D9D9"/>
            <w:tcMar>
              <w:top w:w="100" w:type="dxa"/>
              <w:left w:w="120" w:type="dxa"/>
              <w:bottom w:w="100" w:type="dxa"/>
              <w:right w:w="120" w:type="dxa"/>
            </w:tcMar>
          </w:tcPr>
          <w:p w:rsidR="00186735" w:rsidRDefault="00186735">
            <w:pPr>
              <w:spacing w:after="0" w:line="276" w:lineRule="auto"/>
              <w:rPr>
                <w:b/>
                <w:sz w:val="32"/>
                <w:szCs w:val="32"/>
              </w:rPr>
            </w:pPr>
          </w:p>
        </w:tc>
        <w:tc>
          <w:tcPr>
            <w:tcW w:w="5190" w:type="dxa"/>
            <w:gridSpan w:val="4"/>
            <w:tcBorders>
              <w:top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2014-15</w:t>
            </w:r>
          </w:p>
        </w:tc>
        <w:tc>
          <w:tcPr>
            <w:tcW w:w="5115" w:type="dxa"/>
            <w:gridSpan w:val="4"/>
            <w:tcBorders>
              <w:top w:val="single" w:sz="12" w:space="0" w:color="000000"/>
              <w:bottom w:val="single" w:sz="8" w:space="0" w:color="000000"/>
              <w:right w:val="single" w:sz="12"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2015-16</w:t>
            </w:r>
          </w:p>
        </w:tc>
      </w:tr>
      <w:tr w:rsidR="00186735">
        <w:tc>
          <w:tcPr>
            <w:tcW w:w="795" w:type="dxa"/>
            <w:vMerge/>
            <w:tcBorders>
              <w:bottom w:val="single" w:sz="8" w:space="0" w:color="000000"/>
              <w:right w:val="single" w:sz="8" w:space="0" w:color="000000"/>
            </w:tcBorders>
            <w:tcMar>
              <w:top w:w="100" w:type="dxa"/>
              <w:left w:w="100" w:type="dxa"/>
              <w:bottom w:w="100" w:type="dxa"/>
              <w:right w:w="100" w:type="dxa"/>
            </w:tcMar>
          </w:tcPr>
          <w:p w:rsidR="00186735" w:rsidRDefault="00186735">
            <w:pPr>
              <w:spacing w:after="0" w:line="276" w:lineRule="auto"/>
              <w:rPr>
                <w:b/>
                <w:sz w:val="32"/>
                <w:szCs w:val="32"/>
              </w:rPr>
            </w:pP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ELA</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Math</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Science</w:t>
            </w:r>
          </w:p>
        </w:tc>
        <w:tc>
          <w:tcPr>
            <w:tcW w:w="181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Social Studies</w:t>
            </w:r>
          </w:p>
        </w:tc>
        <w:tc>
          <w:tcPr>
            <w:tcW w:w="90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ELA</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Math</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Science</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Social Studies</w:t>
            </w:r>
          </w:p>
        </w:tc>
      </w:tr>
      <w:tr w:rsidR="00186735">
        <w:tc>
          <w:tcPr>
            <w:tcW w:w="795" w:type="dxa"/>
            <w:tcBorders>
              <w:left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Grade 7</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52.4%</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44.4%</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31.7%</w:t>
            </w:r>
          </w:p>
        </w:tc>
        <w:tc>
          <w:tcPr>
            <w:tcW w:w="181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NA</w:t>
            </w:r>
          </w:p>
        </w:tc>
        <w:tc>
          <w:tcPr>
            <w:tcW w:w="90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50.8%</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46.7%</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Unavailable</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NA</w:t>
            </w:r>
          </w:p>
        </w:tc>
      </w:tr>
      <w:tr w:rsidR="00186735">
        <w:tc>
          <w:tcPr>
            <w:tcW w:w="795" w:type="dxa"/>
            <w:tcBorders>
              <w:left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Grade 8</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51.3%</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37.3</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NA</w:t>
            </w:r>
          </w:p>
        </w:tc>
        <w:tc>
          <w:tcPr>
            <w:tcW w:w="1815"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37.3%</w:t>
            </w:r>
          </w:p>
        </w:tc>
        <w:tc>
          <w:tcPr>
            <w:tcW w:w="90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44.4%</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38.1</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NA</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Unavailable</w:t>
            </w:r>
          </w:p>
        </w:tc>
      </w:tr>
      <w:tr w:rsidR="00186735">
        <w:tc>
          <w:tcPr>
            <w:tcW w:w="795" w:type="dxa"/>
            <w:tcBorders>
              <w:left w:val="single" w:sz="12" w:space="0" w:color="000000"/>
              <w:bottom w:val="single" w:sz="12"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Grade 11</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50.9%</w:t>
            </w:r>
          </w:p>
        </w:tc>
        <w:tc>
          <w:tcPr>
            <w:tcW w:w="1110" w:type="dxa"/>
            <w:tcBorders>
              <w:bottom w:val="single" w:sz="12"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38.6%*</w:t>
            </w:r>
          </w:p>
        </w:tc>
        <w:tc>
          <w:tcPr>
            <w:tcW w:w="1185" w:type="dxa"/>
            <w:tcBorders>
              <w:bottom w:val="single" w:sz="12"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36.8%</w:t>
            </w:r>
          </w:p>
        </w:tc>
        <w:tc>
          <w:tcPr>
            <w:tcW w:w="1815" w:type="dxa"/>
            <w:tcBorders>
              <w:bottom w:val="single" w:sz="12"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52.6%</w:t>
            </w:r>
          </w:p>
        </w:tc>
        <w:tc>
          <w:tcPr>
            <w:tcW w:w="900" w:type="dxa"/>
            <w:tcBorders>
              <w:bottom w:val="single" w:sz="12"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63.6%</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186735" w:rsidRDefault="00A4554C">
            <w:pPr>
              <w:spacing w:line="276" w:lineRule="auto"/>
              <w:jc w:val="center"/>
              <w:rPr>
                <w:b/>
                <w:sz w:val="20"/>
                <w:szCs w:val="20"/>
                <w:highlight w:val="white"/>
              </w:rPr>
            </w:pPr>
            <w:r>
              <w:rPr>
                <w:b/>
                <w:sz w:val="20"/>
                <w:szCs w:val="20"/>
                <w:highlight w:val="white"/>
              </w:rPr>
              <w:t>43.6*</w:t>
            </w:r>
          </w:p>
        </w:tc>
        <w:tc>
          <w:tcPr>
            <w:tcW w:w="1380" w:type="dxa"/>
            <w:tcBorders>
              <w:bottom w:val="single" w:sz="12" w:space="0" w:color="000000"/>
              <w:right w:val="single" w:sz="8"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27.3%</w:t>
            </w:r>
          </w:p>
        </w:tc>
        <w:tc>
          <w:tcPr>
            <w:tcW w:w="1755" w:type="dxa"/>
            <w:tcBorders>
              <w:bottom w:val="single" w:sz="12" w:space="0" w:color="000000"/>
              <w:right w:val="single" w:sz="12" w:space="0" w:color="000000"/>
            </w:tcBorders>
            <w:shd w:val="clear" w:color="auto" w:fill="FFFFFF"/>
            <w:tcMar>
              <w:top w:w="20" w:type="dxa"/>
              <w:left w:w="20" w:type="dxa"/>
              <w:bottom w:w="20" w:type="dxa"/>
              <w:right w:w="20" w:type="dxa"/>
            </w:tcMar>
          </w:tcPr>
          <w:p w:rsidR="00186735" w:rsidRDefault="00A4554C">
            <w:pPr>
              <w:spacing w:line="276" w:lineRule="auto"/>
              <w:jc w:val="center"/>
              <w:rPr>
                <w:b/>
                <w:sz w:val="20"/>
                <w:szCs w:val="20"/>
                <w:highlight w:val="white"/>
              </w:rPr>
            </w:pPr>
            <w:r>
              <w:rPr>
                <w:b/>
                <w:sz w:val="20"/>
                <w:szCs w:val="20"/>
                <w:highlight w:val="white"/>
              </w:rPr>
              <w:t>47.3%</w:t>
            </w:r>
          </w:p>
        </w:tc>
      </w:tr>
    </w:tbl>
    <w:p w:rsidR="00186735" w:rsidRDefault="00186735">
      <w:pPr>
        <w:jc w:val="center"/>
        <w:rPr>
          <w:b/>
          <w:sz w:val="32"/>
          <w:szCs w:val="32"/>
        </w:rPr>
      </w:pPr>
    </w:p>
    <w:p w:rsidR="00186735" w:rsidRDefault="00A4554C">
      <w:pPr>
        <w:spacing w:after="0" w:line="276" w:lineRule="auto"/>
        <w:rPr>
          <w:b/>
          <w:sz w:val="18"/>
          <w:szCs w:val="18"/>
        </w:rPr>
      </w:pPr>
      <w:r>
        <w:rPr>
          <w:b/>
          <w:sz w:val="18"/>
          <w:szCs w:val="18"/>
        </w:rPr>
        <w:t>*M-Step Math/ELA was administered 2014-15 for Grade 11 Math/ELA; SAT Math/ERBW (Evidence Based Reading &amp; Writing was administered 2015-16 for Grade 11.</w:t>
      </w:r>
    </w:p>
    <w:p w:rsidR="00186735" w:rsidRDefault="00A4554C">
      <w:pPr>
        <w:jc w:val="center"/>
        <w:rPr>
          <w:b/>
          <w:sz w:val="32"/>
          <w:szCs w:val="32"/>
        </w:rPr>
      </w:pPr>
      <w:r>
        <w:rPr>
          <w:b/>
          <w:sz w:val="32"/>
          <w:szCs w:val="32"/>
        </w:rPr>
        <w:t>Parent Teacher Conference Attendance Data</w:t>
      </w:r>
    </w:p>
    <w:tbl>
      <w:tblPr>
        <w:tblStyle w:val="a1"/>
        <w:tblW w:w="11496" w:type="dxa"/>
        <w:tblInd w:w="-115" w:type="dxa"/>
        <w:tblBorders>
          <w:top w:val="single" w:sz="12" w:space="0" w:color="000000"/>
          <w:left w:val="single" w:sz="18" w:space="0" w:color="000000"/>
          <w:bottom w:val="single" w:sz="8" w:space="0" w:color="000000"/>
          <w:right w:val="single" w:sz="18" w:space="0" w:color="000000"/>
          <w:insideH w:val="single" w:sz="8" w:space="0" w:color="000000"/>
          <w:insideV w:val="single" w:sz="8" w:space="0" w:color="000000"/>
        </w:tblBorders>
        <w:tblLayout w:type="fixed"/>
        <w:tblLook w:val="0000" w:firstRow="0" w:lastRow="0" w:firstColumn="0" w:lastColumn="0" w:noHBand="0" w:noVBand="0"/>
      </w:tblPr>
      <w:tblGrid>
        <w:gridCol w:w="2483"/>
        <w:gridCol w:w="2016"/>
        <w:gridCol w:w="2088"/>
        <w:gridCol w:w="1944"/>
        <w:gridCol w:w="2965"/>
      </w:tblGrid>
      <w:tr w:rsidR="00186735">
        <w:trPr>
          <w:trHeight w:val="460"/>
        </w:trPr>
        <w:tc>
          <w:tcPr>
            <w:tcW w:w="2484" w:type="dxa"/>
            <w:vMerge w:val="restart"/>
            <w:shd w:val="clear" w:color="auto" w:fill="D9D9D9"/>
            <w:vAlign w:val="center"/>
          </w:tcPr>
          <w:p w:rsidR="00186735" w:rsidRDefault="00186735">
            <w:pPr>
              <w:jc w:val="center"/>
              <w:rPr>
                <w:b/>
                <w:sz w:val="28"/>
                <w:szCs w:val="28"/>
              </w:rPr>
            </w:pPr>
          </w:p>
        </w:tc>
        <w:tc>
          <w:tcPr>
            <w:tcW w:w="4104" w:type="dxa"/>
            <w:gridSpan w:val="2"/>
            <w:shd w:val="clear" w:color="auto" w:fill="FFFFFF"/>
            <w:vAlign w:val="center"/>
          </w:tcPr>
          <w:p w:rsidR="00186735" w:rsidRDefault="00A4554C">
            <w:pPr>
              <w:jc w:val="center"/>
              <w:rPr>
                <w:b/>
                <w:sz w:val="20"/>
                <w:szCs w:val="20"/>
              </w:rPr>
            </w:pPr>
            <w:r>
              <w:rPr>
                <w:b/>
                <w:sz w:val="20"/>
                <w:szCs w:val="20"/>
              </w:rPr>
              <w:t>201</w:t>
            </w:r>
            <w:r>
              <w:rPr>
                <w:b/>
                <w:sz w:val="20"/>
                <w:szCs w:val="20"/>
              </w:rPr>
              <w:t>4</w:t>
            </w:r>
            <w:r>
              <w:rPr>
                <w:b/>
                <w:sz w:val="20"/>
                <w:szCs w:val="20"/>
              </w:rPr>
              <w:t>-1</w:t>
            </w:r>
            <w:r>
              <w:rPr>
                <w:b/>
                <w:sz w:val="20"/>
                <w:szCs w:val="20"/>
              </w:rPr>
              <w:t>5</w:t>
            </w:r>
          </w:p>
        </w:tc>
        <w:tc>
          <w:tcPr>
            <w:tcW w:w="4909" w:type="dxa"/>
            <w:gridSpan w:val="2"/>
            <w:shd w:val="clear" w:color="auto" w:fill="FFFFFF"/>
            <w:vAlign w:val="center"/>
          </w:tcPr>
          <w:p w:rsidR="00186735" w:rsidRDefault="00A4554C">
            <w:pPr>
              <w:jc w:val="center"/>
              <w:rPr>
                <w:b/>
                <w:sz w:val="20"/>
                <w:szCs w:val="20"/>
              </w:rPr>
            </w:pPr>
            <w:r>
              <w:rPr>
                <w:b/>
                <w:sz w:val="20"/>
                <w:szCs w:val="20"/>
              </w:rPr>
              <w:t>2015-16</w:t>
            </w:r>
          </w:p>
        </w:tc>
      </w:tr>
      <w:tr w:rsidR="00186735">
        <w:trPr>
          <w:trHeight w:val="460"/>
        </w:trPr>
        <w:tc>
          <w:tcPr>
            <w:tcW w:w="2484" w:type="dxa"/>
            <w:vMerge/>
            <w:shd w:val="clear" w:color="auto" w:fill="D9D9D9"/>
            <w:vAlign w:val="center"/>
          </w:tcPr>
          <w:p w:rsidR="00186735" w:rsidRDefault="00186735">
            <w:pPr>
              <w:jc w:val="center"/>
              <w:rPr>
                <w:b/>
                <w:sz w:val="20"/>
                <w:szCs w:val="20"/>
              </w:rPr>
            </w:pPr>
          </w:p>
        </w:tc>
        <w:tc>
          <w:tcPr>
            <w:tcW w:w="2016" w:type="dxa"/>
            <w:shd w:val="clear" w:color="auto" w:fill="FFFFFF"/>
            <w:vAlign w:val="center"/>
          </w:tcPr>
          <w:p w:rsidR="00186735" w:rsidRDefault="00A4554C">
            <w:pPr>
              <w:jc w:val="center"/>
              <w:rPr>
                <w:b/>
                <w:sz w:val="20"/>
                <w:szCs w:val="20"/>
              </w:rPr>
            </w:pPr>
            <w:r>
              <w:rPr>
                <w:b/>
                <w:sz w:val="20"/>
                <w:szCs w:val="20"/>
              </w:rPr>
              <w:t>Number of students represented</w:t>
            </w:r>
          </w:p>
        </w:tc>
        <w:tc>
          <w:tcPr>
            <w:tcW w:w="2088" w:type="dxa"/>
            <w:shd w:val="clear" w:color="auto" w:fill="FFFFFF"/>
            <w:vAlign w:val="center"/>
          </w:tcPr>
          <w:p w:rsidR="00186735" w:rsidRDefault="00A4554C">
            <w:pPr>
              <w:jc w:val="center"/>
              <w:rPr>
                <w:b/>
                <w:sz w:val="20"/>
                <w:szCs w:val="20"/>
              </w:rPr>
            </w:pPr>
            <w:r>
              <w:rPr>
                <w:b/>
                <w:sz w:val="20"/>
                <w:szCs w:val="20"/>
              </w:rPr>
              <w:t>Percentage of students represented</w:t>
            </w:r>
          </w:p>
        </w:tc>
        <w:tc>
          <w:tcPr>
            <w:tcW w:w="1944" w:type="dxa"/>
            <w:shd w:val="clear" w:color="auto" w:fill="FFFFFF"/>
            <w:vAlign w:val="center"/>
          </w:tcPr>
          <w:p w:rsidR="00186735" w:rsidRDefault="00A4554C">
            <w:pPr>
              <w:jc w:val="center"/>
              <w:rPr>
                <w:b/>
                <w:sz w:val="20"/>
                <w:szCs w:val="20"/>
              </w:rPr>
            </w:pPr>
            <w:r>
              <w:rPr>
                <w:b/>
                <w:sz w:val="20"/>
                <w:szCs w:val="20"/>
              </w:rPr>
              <w:t>Number of students represented</w:t>
            </w:r>
          </w:p>
        </w:tc>
        <w:tc>
          <w:tcPr>
            <w:tcW w:w="2965" w:type="dxa"/>
            <w:shd w:val="clear" w:color="auto" w:fill="FFFFFF"/>
            <w:vAlign w:val="center"/>
          </w:tcPr>
          <w:p w:rsidR="00186735" w:rsidRDefault="00A4554C">
            <w:pPr>
              <w:jc w:val="center"/>
              <w:rPr>
                <w:b/>
                <w:sz w:val="20"/>
                <w:szCs w:val="20"/>
              </w:rPr>
            </w:pPr>
            <w:r>
              <w:rPr>
                <w:b/>
                <w:sz w:val="20"/>
                <w:szCs w:val="20"/>
              </w:rPr>
              <w:t>Percentage of students represented</w:t>
            </w:r>
          </w:p>
        </w:tc>
      </w:tr>
      <w:tr w:rsidR="00186735">
        <w:trPr>
          <w:trHeight w:val="460"/>
        </w:trPr>
        <w:tc>
          <w:tcPr>
            <w:tcW w:w="2484" w:type="dxa"/>
            <w:shd w:val="clear" w:color="auto" w:fill="FFFFFF"/>
            <w:vAlign w:val="center"/>
          </w:tcPr>
          <w:p w:rsidR="00186735" w:rsidRDefault="00A4554C">
            <w:pPr>
              <w:jc w:val="center"/>
              <w:rPr>
                <w:b/>
                <w:sz w:val="20"/>
                <w:szCs w:val="20"/>
              </w:rPr>
            </w:pPr>
            <w:r>
              <w:rPr>
                <w:b/>
                <w:sz w:val="20"/>
                <w:szCs w:val="20"/>
              </w:rPr>
              <w:t xml:space="preserve">All </w:t>
            </w:r>
          </w:p>
        </w:tc>
        <w:tc>
          <w:tcPr>
            <w:tcW w:w="2016" w:type="dxa"/>
            <w:shd w:val="clear" w:color="auto" w:fill="FFFFFF"/>
            <w:vAlign w:val="center"/>
          </w:tcPr>
          <w:p w:rsidR="00186735" w:rsidRDefault="00A4554C">
            <w:pPr>
              <w:jc w:val="center"/>
              <w:rPr>
                <w:sz w:val="20"/>
                <w:szCs w:val="20"/>
              </w:rPr>
            </w:pPr>
            <w:r>
              <w:rPr>
                <w:sz w:val="20"/>
                <w:szCs w:val="20"/>
              </w:rPr>
              <w:t>266</w:t>
            </w:r>
          </w:p>
        </w:tc>
        <w:tc>
          <w:tcPr>
            <w:tcW w:w="2088" w:type="dxa"/>
            <w:shd w:val="clear" w:color="auto" w:fill="FFFFFF"/>
            <w:vAlign w:val="center"/>
          </w:tcPr>
          <w:p w:rsidR="00186735" w:rsidRDefault="00A4554C">
            <w:pPr>
              <w:jc w:val="center"/>
              <w:rPr>
                <w:sz w:val="20"/>
                <w:szCs w:val="20"/>
              </w:rPr>
            </w:pPr>
            <w:r>
              <w:rPr>
                <w:sz w:val="20"/>
                <w:szCs w:val="20"/>
              </w:rPr>
              <w:t>72%</w:t>
            </w:r>
          </w:p>
        </w:tc>
        <w:tc>
          <w:tcPr>
            <w:tcW w:w="1944" w:type="dxa"/>
            <w:shd w:val="clear" w:color="auto" w:fill="FFFFFF"/>
            <w:vAlign w:val="center"/>
          </w:tcPr>
          <w:p w:rsidR="00186735" w:rsidRDefault="00A4554C">
            <w:pPr>
              <w:jc w:val="center"/>
              <w:rPr>
                <w:sz w:val="20"/>
                <w:szCs w:val="20"/>
              </w:rPr>
            </w:pPr>
            <w:r>
              <w:rPr>
                <w:sz w:val="20"/>
                <w:szCs w:val="20"/>
              </w:rPr>
              <w:t>227</w:t>
            </w:r>
          </w:p>
        </w:tc>
        <w:tc>
          <w:tcPr>
            <w:tcW w:w="2965" w:type="dxa"/>
            <w:shd w:val="clear" w:color="auto" w:fill="FFFFFF"/>
            <w:vAlign w:val="center"/>
          </w:tcPr>
          <w:p w:rsidR="00186735" w:rsidRDefault="00A4554C">
            <w:pPr>
              <w:jc w:val="center"/>
              <w:rPr>
                <w:sz w:val="20"/>
                <w:szCs w:val="20"/>
              </w:rPr>
            </w:pPr>
            <w:r>
              <w:rPr>
                <w:sz w:val="20"/>
                <w:szCs w:val="20"/>
              </w:rPr>
              <w:t>62%</w:t>
            </w:r>
          </w:p>
        </w:tc>
      </w:tr>
    </w:tbl>
    <w:p w:rsidR="00186735" w:rsidRDefault="00186735">
      <w:pPr>
        <w:spacing w:after="0" w:line="276" w:lineRule="auto"/>
        <w:rPr>
          <w:rFonts w:ascii="Verdana" w:eastAsia="Verdana" w:hAnsi="Verdana" w:cs="Verdana"/>
        </w:rPr>
      </w:pPr>
    </w:p>
    <w:p w:rsidR="00186735" w:rsidRDefault="00A4554C">
      <w:pPr>
        <w:jc w:val="center"/>
        <w:rPr>
          <w:b/>
          <w:sz w:val="32"/>
          <w:szCs w:val="32"/>
        </w:rPr>
      </w:pPr>
      <w:r>
        <w:rPr>
          <w:b/>
          <w:sz w:val="32"/>
          <w:szCs w:val="32"/>
        </w:rPr>
        <w:t>Post-Secondary Information</w:t>
      </w:r>
    </w:p>
    <w:p w:rsidR="00186735" w:rsidRDefault="00A4554C">
      <w:pPr>
        <w:spacing w:after="0" w:line="276" w:lineRule="auto"/>
        <w:rPr>
          <w:rFonts w:ascii="Verdana" w:eastAsia="Verdana" w:hAnsi="Verdana" w:cs="Verdana"/>
        </w:rPr>
      </w:pPr>
      <w:r>
        <w:t xml:space="preserve">Students from </w:t>
      </w:r>
      <w:r>
        <w:t>Beal City Jr/</w:t>
      </w:r>
      <w:proofErr w:type="spellStart"/>
      <w:r>
        <w:t>Sr</w:t>
      </w:r>
      <w:proofErr w:type="spellEnd"/>
      <w:r>
        <w:t xml:space="preserve"> High School</w:t>
      </w:r>
      <w:r>
        <w:t xml:space="preserve"> have the opportunity to dual enroll in </w:t>
      </w:r>
      <w:r>
        <w:t>postsecondary</w:t>
      </w:r>
      <w:r>
        <w:t xml:space="preserve"> classes at</w:t>
      </w:r>
      <w:r>
        <w:t xml:space="preserve"> </w:t>
      </w:r>
      <w:proofErr w:type="spellStart"/>
      <w:r>
        <w:t>Mid Michigan</w:t>
      </w:r>
      <w:proofErr w:type="spellEnd"/>
      <w:r>
        <w:t xml:space="preserve"> Community College and Central Michigan University</w:t>
      </w:r>
      <w:r>
        <w:t>.</w:t>
      </w:r>
    </w:p>
    <w:p w:rsidR="00186735" w:rsidRDefault="00186735">
      <w:pPr>
        <w:spacing w:after="0" w:line="276" w:lineRule="auto"/>
        <w:rPr>
          <w:rFonts w:ascii="Verdana" w:eastAsia="Verdana" w:hAnsi="Verdana" w:cs="Verdana"/>
        </w:rPr>
      </w:pPr>
    </w:p>
    <w:tbl>
      <w:tblPr>
        <w:tblStyle w:val="a2"/>
        <w:tblW w:w="11496" w:type="dxa"/>
        <w:tblInd w:w="-115" w:type="dxa"/>
        <w:tblBorders>
          <w:top w:val="single" w:sz="12" w:space="0" w:color="000000"/>
          <w:left w:val="single" w:sz="18" w:space="0" w:color="000000"/>
          <w:bottom w:val="single" w:sz="8" w:space="0" w:color="000000"/>
          <w:right w:val="single" w:sz="18" w:space="0" w:color="000000"/>
          <w:insideH w:val="single" w:sz="8" w:space="0" w:color="000000"/>
          <w:insideV w:val="single" w:sz="8" w:space="0" w:color="000000"/>
        </w:tblBorders>
        <w:tblLayout w:type="fixed"/>
        <w:tblLook w:val="0000" w:firstRow="0" w:lastRow="0" w:firstColumn="0" w:lastColumn="0" w:noHBand="0" w:noVBand="0"/>
      </w:tblPr>
      <w:tblGrid>
        <w:gridCol w:w="2483"/>
        <w:gridCol w:w="2016"/>
        <w:gridCol w:w="2088"/>
        <w:gridCol w:w="1944"/>
        <w:gridCol w:w="2965"/>
      </w:tblGrid>
      <w:tr w:rsidR="00186735">
        <w:trPr>
          <w:trHeight w:val="460"/>
        </w:trPr>
        <w:tc>
          <w:tcPr>
            <w:tcW w:w="2484" w:type="dxa"/>
            <w:vMerge w:val="restart"/>
            <w:shd w:val="clear" w:color="auto" w:fill="D9D9D9"/>
            <w:vAlign w:val="center"/>
          </w:tcPr>
          <w:p w:rsidR="00186735" w:rsidRDefault="00186735">
            <w:pPr>
              <w:jc w:val="center"/>
              <w:rPr>
                <w:b/>
                <w:sz w:val="28"/>
                <w:szCs w:val="28"/>
              </w:rPr>
            </w:pPr>
          </w:p>
        </w:tc>
        <w:tc>
          <w:tcPr>
            <w:tcW w:w="4104" w:type="dxa"/>
            <w:gridSpan w:val="2"/>
            <w:shd w:val="clear" w:color="auto" w:fill="FFFFFF"/>
            <w:vAlign w:val="center"/>
          </w:tcPr>
          <w:p w:rsidR="00186735" w:rsidRDefault="00A4554C">
            <w:pPr>
              <w:jc w:val="center"/>
              <w:rPr>
                <w:b/>
                <w:sz w:val="20"/>
                <w:szCs w:val="20"/>
              </w:rPr>
            </w:pPr>
            <w:r>
              <w:rPr>
                <w:b/>
                <w:sz w:val="20"/>
                <w:szCs w:val="20"/>
              </w:rPr>
              <w:t>2014-15</w:t>
            </w:r>
          </w:p>
        </w:tc>
        <w:tc>
          <w:tcPr>
            <w:tcW w:w="4909" w:type="dxa"/>
            <w:gridSpan w:val="2"/>
            <w:shd w:val="clear" w:color="auto" w:fill="FFFFFF"/>
            <w:vAlign w:val="center"/>
          </w:tcPr>
          <w:p w:rsidR="00186735" w:rsidRDefault="00A4554C">
            <w:pPr>
              <w:jc w:val="center"/>
              <w:rPr>
                <w:b/>
                <w:sz w:val="20"/>
                <w:szCs w:val="20"/>
              </w:rPr>
            </w:pPr>
            <w:r>
              <w:rPr>
                <w:b/>
                <w:sz w:val="20"/>
                <w:szCs w:val="20"/>
              </w:rPr>
              <w:t>2015-16</w:t>
            </w:r>
          </w:p>
        </w:tc>
      </w:tr>
      <w:tr w:rsidR="00186735">
        <w:trPr>
          <w:trHeight w:val="460"/>
        </w:trPr>
        <w:tc>
          <w:tcPr>
            <w:tcW w:w="2484" w:type="dxa"/>
            <w:vMerge/>
            <w:shd w:val="clear" w:color="auto" w:fill="D9D9D9"/>
            <w:vAlign w:val="center"/>
          </w:tcPr>
          <w:p w:rsidR="00186735" w:rsidRDefault="00186735">
            <w:pPr>
              <w:jc w:val="center"/>
              <w:rPr>
                <w:b/>
                <w:sz w:val="20"/>
                <w:szCs w:val="20"/>
              </w:rPr>
            </w:pPr>
          </w:p>
        </w:tc>
        <w:tc>
          <w:tcPr>
            <w:tcW w:w="2016" w:type="dxa"/>
            <w:shd w:val="clear" w:color="auto" w:fill="FFFFFF"/>
            <w:vAlign w:val="center"/>
          </w:tcPr>
          <w:p w:rsidR="00186735" w:rsidRDefault="00A4554C">
            <w:pPr>
              <w:jc w:val="center"/>
              <w:rPr>
                <w:b/>
                <w:sz w:val="20"/>
                <w:szCs w:val="20"/>
              </w:rPr>
            </w:pPr>
            <w:r>
              <w:rPr>
                <w:b/>
                <w:sz w:val="20"/>
                <w:szCs w:val="20"/>
              </w:rPr>
              <w:t>Number of students represented</w:t>
            </w:r>
          </w:p>
        </w:tc>
        <w:tc>
          <w:tcPr>
            <w:tcW w:w="2088" w:type="dxa"/>
            <w:shd w:val="clear" w:color="auto" w:fill="FFFFFF"/>
            <w:vAlign w:val="center"/>
          </w:tcPr>
          <w:p w:rsidR="00186735" w:rsidRDefault="00A4554C">
            <w:pPr>
              <w:jc w:val="center"/>
              <w:rPr>
                <w:b/>
                <w:sz w:val="20"/>
                <w:szCs w:val="20"/>
              </w:rPr>
            </w:pPr>
            <w:r>
              <w:rPr>
                <w:b/>
                <w:sz w:val="20"/>
                <w:szCs w:val="20"/>
              </w:rPr>
              <w:t>Percentage of students represented</w:t>
            </w:r>
          </w:p>
        </w:tc>
        <w:tc>
          <w:tcPr>
            <w:tcW w:w="1944" w:type="dxa"/>
            <w:shd w:val="clear" w:color="auto" w:fill="FFFFFF"/>
            <w:vAlign w:val="center"/>
          </w:tcPr>
          <w:p w:rsidR="00186735" w:rsidRDefault="00A4554C">
            <w:pPr>
              <w:jc w:val="center"/>
              <w:rPr>
                <w:b/>
                <w:sz w:val="20"/>
                <w:szCs w:val="20"/>
              </w:rPr>
            </w:pPr>
            <w:r>
              <w:rPr>
                <w:b/>
                <w:sz w:val="20"/>
                <w:szCs w:val="20"/>
              </w:rPr>
              <w:t>Number of students represented</w:t>
            </w:r>
          </w:p>
        </w:tc>
        <w:tc>
          <w:tcPr>
            <w:tcW w:w="2965" w:type="dxa"/>
            <w:shd w:val="clear" w:color="auto" w:fill="FFFFFF"/>
            <w:vAlign w:val="center"/>
          </w:tcPr>
          <w:p w:rsidR="00186735" w:rsidRDefault="00A4554C">
            <w:pPr>
              <w:jc w:val="center"/>
              <w:rPr>
                <w:b/>
                <w:sz w:val="20"/>
                <w:szCs w:val="20"/>
              </w:rPr>
            </w:pPr>
            <w:r>
              <w:rPr>
                <w:b/>
                <w:sz w:val="20"/>
                <w:szCs w:val="20"/>
              </w:rPr>
              <w:t>Percentage of students represented</w:t>
            </w:r>
          </w:p>
        </w:tc>
      </w:tr>
      <w:tr w:rsidR="00186735">
        <w:trPr>
          <w:trHeight w:val="460"/>
        </w:trPr>
        <w:tc>
          <w:tcPr>
            <w:tcW w:w="2484" w:type="dxa"/>
            <w:shd w:val="clear" w:color="auto" w:fill="FFFFFF"/>
            <w:vAlign w:val="center"/>
          </w:tcPr>
          <w:p w:rsidR="00186735" w:rsidRDefault="00A4554C">
            <w:pPr>
              <w:jc w:val="center"/>
              <w:rPr>
                <w:b/>
                <w:sz w:val="20"/>
                <w:szCs w:val="20"/>
              </w:rPr>
            </w:pPr>
            <w:r>
              <w:rPr>
                <w:sz w:val="20"/>
                <w:szCs w:val="20"/>
              </w:rPr>
              <w:t>Number and Percent of Postsecondary Enrollments (Dual Enrollment)</w:t>
            </w:r>
          </w:p>
        </w:tc>
        <w:tc>
          <w:tcPr>
            <w:tcW w:w="2016" w:type="dxa"/>
            <w:shd w:val="clear" w:color="auto" w:fill="FFFFFF"/>
            <w:vAlign w:val="center"/>
          </w:tcPr>
          <w:p w:rsidR="00186735" w:rsidRDefault="00A4554C">
            <w:pPr>
              <w:jc w:val="center"/>
              <w:rPr>
                <w:sz w:val="20"/>
                <w:szCs w:val="20"/>
              </w:rPr>
            </w:pPr>
            <w:r>
              <w:rPr>
                <w:sz w:val="20"/>
                <w:szCs w:val="20"/>
              </w:rPr>
              <w:t>100</w:t>
            </w:r>
          </w:p>
        </w:tc>
        <w:tc>
          <w:tcPr>
            <w:tcW w:w="2088" w:type="dxa"/>
            <w:shd w:val="clear" w:color="auto" w:fill="FFFFFF"/>
            <w:vAlign w:val="center"/>
          </w:tcPr>
          <w:p w:rsidR="00186735" w:rsidRDefault="00A4554C">
            <w:pPr>
              <w:jc w:val="center"/>
              <w:rPr>
                <w:sz w:val="20"/>
                <w:szCs w:val="20"/>
              </w:rPr>
            </w:pPr>
            <w:r>
              <w:rPr>
                <w:sz w:val="20"/>
                <w:szCs w:val="20"/>
              </w:rPr>
              <w:t>26.9%</w:t>
            </w:r>
          </w:p>
        </w:tc>
        <w:tc>
          <w:tcPr>
            <w:tcW w:w="1944" w:type="dxa"/>
            <w:shd w:val="clear" w:color="auto" w:fill="FFFFFF"/>
            <w:vAlign w:val="center"/>
          </w:tcPr>
          <w:p w:rsidR="00186735" w:rsidRDefault="00A4554C">
            <w:pPr>
              <w:jc w:val="center"/>
              <w:rPr>
                <w:sz w:val="20"/>
                <w:szCs w:val="20"/>
              </w:rPr>
            </w:pPr>
            <w:r>
              <w:rPr>
                <w:sz w:val="20"/>
                <w:szCs w:val="20"/>
              </w:rPr>
              <w:t>83</w:t>
            </w:r>
          </w:p>
        </w:tc>
        <w:tc>
          <w:tcPr>
            <w:tcW w:w="2965" w:type="dxa"/>
            <w:shd w:val="clear" w:color="auto" w:fill="FFFFFF"/>
            <w:vAlign w:val="center"/>
          </w:tcPr>
          <w:p w:rsidR="00186735" w:rsidRDefault="00A4554C">
            <w:pPr>
              <w:jc w:val="center"/>
              <w:rPr>
                <w:sz w:val="20"/>
                <w:szCs w:val="20"/>
              </w:rPr>
            </w:pPr>
            <w:r>
              <w:rPr>
                <w:sz w:val="20"/>
                <w:szCs w:val="20"/>
              </w:rPr>
              <w:t>22.8%</w:t>
            </w:r>
          </w:p>
        </w:tc>
      </w:tr>
      <w:tr w:rsidR="00186735">
        <w:trPr>
          <w:trHeight w:val="460"/>
        </w:trPr>
        <w:tc>
          <w:tcPr>
            <w:tcW w:w="2484" w:type="dxa"/>
            <w:shd w:val="clear" w:color="auto" w:fill="FFFFFF"/>
            <w:vAlign w:val="center"/>
          </w:tcPr>
          <w:p w:rsidR="00186735" w:rsidRDefault="00A4554C">
            <w:pPr>
              <w:jc w:val="center"/>
              <w:rPr>
                <w:sz w:val="20"/>
                <w:szCs w:val="20"/>
              </w:rPr>
            </w:pPr>
            <w:r>
              <w:rPr>
                <w:sz w:val="20"/>
                <w:szCs w:val="20"/>
              </w:rPr>
              <w:t>Number of College Equivalent Courses Offered (AP/IB)</w:t>
            </w:r>
          </w:p>
        </w:tc>
        <w:tc>
          <w:tcPr>
            <w:tcW w:w="2016" w:type="dxa"/>
            <w:shd w:val="clear" w:color="auto" w:fill="FFFFFF"/>
            <w:vAlign w:val="center"/>
          </w:tcPr>
          <w:p w:rsidR="00186735" w:rsidRDefault="00A4554C">
            <w:pPr>
              <w:jc w:val="center"/>
              <w:rPr>
                <w:sz w:val="20"/>
                <w:szCs w:val="20"/>
              </w:rPr>
            </w:pPr>
            <w:r>
              <w:rPr>
                <w:sz w:val="20"/>
                <w:szCs w:val="20"/>
              </w:rPr>
              <w:t>N/A</w:t>
            </w:r>
          </w:p>
        </w:tc>
        <w:tc>
          <w:tcPr>
            <w:tcW w:w="2088" w:type="dxa"/>
            <w:shd w:val="clear" w:color="auto" w:fill="FFFFFF"/>
            <w:vAlign w:val="center"/>
          </w:tcPr>
          <w:p w:rsidR="00186735" w:rsidRDefault="00A4554C">
            <w:pPr>
              <w:jc w:val="center"/>
              <w:rPr>
                <w:sz w:val="20"/>
                <w:szCs w:val="20"/>
                <w:highlight w:val="red"/>
              </w:rPr>
            </w:pPr>
            <w:r>
              <w:rPr>
                <w:sz w:val="20"/>
                <w:szCs w:val="20"/>
              </w:rPr>
              <w:t>N/A</w:t>
            </w:r>
          </w:p>
        </w:tc>
        <w:tc>
          <w:tcPr>
            <w:tcW w:w="1944" w:type="dxa"/>
            <w:shd w:val="clear" w:color="auto" w:fill="FFFFFF"/>
            <w:vAlign w:val="center"/>
          </w:tcPr>
          <w:p w:rsidR="00186735" w:rsidRDefault="00A4554C">
            <w:pPr>
              <w:jc w:val="center"/>
              <w:rPr>
                <w:sz w:val="20"/>
                <w:szCs w:val="20"/>
                <w:highlight w:val="red"/>
              </w:rPr>
            </w:pPr>
            <w:r>
              <w:rPr>
                <w:sz w:val="20"/>
                <w:szCs w:val="20"/>
              </w:rPr>
              <w:t>N/A</w:t>
            </w:r>
          </w:p>
        </w:tc>
        <w:tc>
          <w:tcPr>
            <w:tcW w:w="2965" w:type="dxa"/>
            <w:shd w:val="clear" w:color="auto" w:fill="FFFFFF"/>
            <w:vAlign w:val="center"/>
          </w:tcPr>
          <w:p w:rsidR="00186735" w:rsidRDefault="00A4554C">
            <w:pPr>
              <w:jc w:val="center"/>
              <w:rPr>
                <w:sz w:val="20"/>
                <w:szCs w:val="20"/>
                <w:highlight w:val="red"/>
              </w:rPr>
            </w:pPr>
            <w:r>
              <w:rPr>
                <w:sz w:val="20"/>
                <w:szCs w:val="20"/>
              </w:rPr>
              <w:t>N/A</w:t>
            </w:r>
          </w:p>
        </w:tc>
      </w:tr>
      <w:tr w:rsidR="00186735">
        <w:trPr>
          <w:trHeight w:val="460"/>
        </w:trPr>
        <w:tc>
          <w:tcPr>
            <w:tcW w:w="2484" w:type="dxa"/>
            <w:shd w:val="clear" w:color="auto" w:fill="FFFFFF"/>
            <w:vAlign w:val="center"/>
          </w:tcPr>
          <w:p w:rsidR="00186735" w:rsidRDefault="00A4554C">
            <w:pPr>
              <w:jc w:val="center"/>
              <w:rPr>
                <w:sz w:val="20"/>
                <w:szCs w:val="20"/>
              </w:rPr>
            </w:pPr>
            <w:r>
              <w:rPr>
                <w:sz w:val="20"/>
                <w:szCs w:val="20"/>
              </w:rPr>
              <w:t>Number and Percentage of Students Enrolled in College Equivalent Courses (AP/IB)</w:t>
            </w:r>
          </w:p>
        </w:tc>
        <w:tc>
          <w:tcPr>
            <w:tcW w:w="2016" w:type="dxa"/>
            <w:shd w:val="clear" w:color="auto" w:fill="FFFFFF"/>
            <w:vAlign w:val="center"/>
          </w:tcPr>
          <w:p w:rsidR="00186735" w:rsidRDefault="00A4554C">
            <w:pPr>
              <w:jc w:val="center"/>
              <w:rPr>
                <w:sz w:val="20"/>
                <w:szCs w:val="20"/>
              </w:rPr>
            </w:pPr>
            <w:r>
              <w:rPr>
                <w:sz w:val="20"/>
                <w:szCs w:val="20"/>
              </w:rPr>
              <w:t>N/A</w:t>
            </w:r>
          </w:p>
        </w:tc>
        <w:tc>
          <w:tcPr>
            <w:tcW w:w="2088" w:type="dxa"/>
            <w:shd w:val="clear" w:color="auto" w:fill="FFFFFF"/>
            <w:vAlign w:val="center"/>
          </w:tcPr>
          <w:p w:rsidR="00186735" w:rsidRDefault="00A4554C">
            <w:pPr>
              <w:jc w:val="center"/>
              <w:rPr>
                <w:sz w:val="20"/>
                <w:szCs w:val="20"/>
                <w:highlight w:val="red"/>
              </w:rPr>
            </w:pPr>
            <w:r>
              <w:rPr>
                <w:sz w:val="20"/>
                <w:szCs w:val="20"/>
              </w:rPr>
              <w:t>N/A</w:t>
            </w:r>
          </w:p>
        </w:tc>
        <w:tc>
          <w:tcPr>
            <w:tcW w:w="1944" w:type="dxa"/>
            <w:shd w:val="clear" w:color="auto" w:fill="FFFFFF"/>
            <w:vAlign w:val="center"/>
          </w:tcPr>
          <w:p w:rsidR="00186735" w:rsidRDefault="00A4554C">
            <w:pPr>
              <w:jc w:val="center"/>
              <w:rPr>
                <w:sz w:val="20"/>
                <w:szCs w:val="20"/>
                <w:highlight w:val="red"/>
              </w:rPr>
            </w:pPr>
            <w:r>
              <w:rPr>
                <w:sz w:val="20"/>
                <w:szCs w:val="20"/>
              </w:rPr>
              <w:t>N/A</w:t>
            </w:r>
          </w:p>
        </w:tc>
        <w:tc>
          <w:tcPr>
            <w:tcW w:w="2965" w:type="dxa"/>
            <w:shd w:val="clear" w:color="auto" w:fill="FFFFFF"/>
            <w:vAlign w:val="center"/>
          </w:tcPr>
          <w:p w:rsidR="00186735" w:rsidRDefault="00A4554C">
            <w:pPr>
              <w:jc w:val="center"/>
              <w:rPr>
                <w:sz w:val="20"/>
                <w:szCs w:val="20"/>
                <w:highlight w:val="red"/>
              </w:rPr>
            </w:pPr>
            <w:r>
              <w:rPr>
                <w:sz w:val="20"/>
                <w:szCs w:val="20"/>
              </w:rPr>
              <w:t>N/A</w:t>
            </w:r>
          </w:p>
        </w:tc>
      </w:tr>
      <w:tr w:rsidR="00186735">
        <w:trPr>
          <w:trHeight w:val="460"/>
        </w:trPr>
        <w:tc>
          <w:tcPr>
            <w:tcW w:w="2484" w:type="dxa"/>
            <w:shd w:val="clear" w:color="auto" w:fill="FFFFFF"/>
            <w:vAlign w:val="center"/>
          </w:tcPr>
          <w:p w:rsidR="00186735" w:rsidRDefault="00A4554C">
            <w:pPr>
              <w:jc w:val="center"/>
              <w:rPr>
                <w:sz w:val="20"/>
                <w:szCs w:val="20"/>
              </w:rPr>
            </w:pPr>
            <w:r>
              <w:rPr>
                <w:sz w:val="20"/>
                <w:szCs w:val="20"/>
              </w:rPr>
              <w:t>Number and Percentage of Students Receiving a Score Leading to College Credit</w:t>
            </w:r>
          </w:p>
        </w:tc>
        <w:tc>
          <w:tcPr>
            <w:tcW w:w="2016" w:type="dxa"/>
            <w:shd w:val="clear" w:color="auto" w:fill="FFFFFF"/>
            <w:vAlign w:val="center"/>
          </w:tcPr>
          <w:p w:rsidR="00186735" w:rsidRDefault="00A4554C">
            <w:pPr>
              <w:jc w:val="center"/>
              <w:rPr>
                <w:sz w:val="20"/>
                <w:szCs w:val="20"/>
                <w:highlight w:val="red"/>
              </w:rPr>
            </w:pPr>
            <w:r>
              <w:rPr>
                <w:sz w:val="20"/>
                <w:szCs w:val="20"/>
              </w:rPr>
              <w:t>N/A</w:t>
            </w:r>
          </w:p>
        </w:tc>
        <w:tc>
          <w:tcPr>
            <w:tcW w:w="2088" w:type="dxa"/>
            <w:shd w:val="clear" w:color="auto" w:fill="FFFFFF"/>
            <w:vAlign w:val="center"/>
          </w:tcPr>
          <w:p w:rsidR="00186735" w:rsidRDefault="00A4554C">
            <w:pPr>
              <w:jc w:val="center"/>
              <w:rPr>
                <w:sz w:val="20"/>
                <w:szCs w:val="20"/>
                <w:highlight w:val="red"/>
              </w:rPr>
            </w:pPr>
            <w:r>
              <w:rPr>
                <w:sz w:val="20"/>
                <w:szCs w:val="20"/>
              </w:rPr>
              <w:t>N/A</w:t>
            </w:r>
          </w:p>
        </w:tc>
        <w:tc>
          <w:tcPr>
            <w:tcW w:w="1944" w:type="dxa"/>
            <w:shd w:val="clear" w:color="auto" w:fill="FFFFFF"/>
            <w:vAlign w:val="center"/>
          </w:tcPr>
          <w:p w:rsidR="00186735" w:rsidRDefault="00A4554C">
            <w:pPr>
              <w:jc w:val="center"/>
              <w:rPr>
                <w:sz w:val="20"/>
                <w:szCs w:val="20"/>
                <w:highlight w:val="red"/>
              </w:rPr>
            </w:pPr>
            <w:r>
              <w:rPr>
                <w:sz w:val="20"/>
                <w:szCs w:val="20"/>
              </w:rPr>
              <w:t>N/A</w:t>
            </w:r>
          </w:p>
        </w:tc>
        <w:tc>
          <w:tcPr>
            <w:tcW w:w="2965" w:type="dxa"/>
            <w:shd w:val="clear" w:color="auto" w:fill="FFFFFF"/>
            <w:vAlign w:val="center"/>
          </w:tcPr>
          <w:p w:rsidR="00186735" w:rsidRDefault="00A4554C">
            <w:pPr>
              <w:jc w:val="center"/>
              <w:rPr>
                <w:sz w:val="20"/>
                <w:szCs w:val="20"/>
                <w:highlight w:val="red"/>
              </w:rPr>
            </w:pPr>
            <w:r>
              <w:rPr>
                <w:sz w:val="20"/>
                <w:szCs w:val="20"/>
              </w:rPr>
              <w:t>N/A</w:t>
            </w:r>
          </w:p>
        </w:tc>
      </w:tr>
    </w:tbl>
    <w:p w:rsidR="00186735" w:rsidRDefault="00186735"/>
    <w:sectPr w:rsidR="00186735">
      <w:type w:val="continuous"/>
      <w:pgSz w:w="12240" w:h="15840"/>
      <w:pgMar w:top="360" w:right="360" w:bottom="360" w:left="36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8A3"/>
    <w:multiLevelType w:val="multilevel"/>
    <w:tmpl w:val="1F7AF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2C5EC6"/>
    <w:multiLevelType w:val="multilevel"/>
    <w:tmpl w:val="433CC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142798"/>
    <w:multiLevelType w:val="multilevel"/>
    <w:tmpl w:val="53D22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6D5B4F"/>
    <w:multiLevelType w:val="multilevel"/>
    <w:tmpl w:val="45F06A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5"/>
    <w:rsid w:val="00186735"/>
    <w:rsid w:val="00A4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0E2F6-4053-41CF-B36B-3670A91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alcityschools.net" TargetMode="External"/><Relationship Id="rId3" Type="http://schemas.openxmlformats.org/officeDocument/2006/relationships/settings" Target="settings.xml"/><Relationship Id="rId7" Type="http://schemas.openxmlformats.org/officeDocument/2006/relationships/hyperlink" Target="http://www.bealci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rJw7d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Chilman</dc:creator>
  <cp:lastModifiedBy>Bill Chilman</cp:lastModifiedBy>
  <cp:revision>2</cp:revision>
  <dcterms:created xsi:type="dcterms:W3CDTF">2017-03-24T12:10:00Z</dcterms:created>
  <dcterms:modified xsi:type="dcterms:W3CDTF">2017-03-24T12:10:00Z</dcterms:modified>
</cp:coreProperties>
</file>